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50" w:rsidRDefault="007B1850" w:rsidP="007B1850">
      <w:pPr>
        <w:spacing w:line="60" w:lineRule="exact"/>
        <w:rPr>
          <w:sz w:val="6"/>
        </w:rPr>
        <w:sectPr w:rsidR="007B1850" w:rsidSect="007B185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6E6911" w:rsidRPr="006E6911" w:rsidRDefault="006E6911" w:rsidP="006E6911">
      <w:pPr>
        <w:pStyle w:val="SingleTxt"/>
        <w:spacing w:after="60"/>
        <w:ind w:left="0"/>
        <w:rPr>
          <w:rFonts w:ascii="黑体" w:eastAsia="黑体" w:hAnsi="黑体"/>
        </w:rPr>
      </w:pPr>
      <w:r w:rsidRPr="006E6911">
        <w:rPr>
          <w:rFonts w:ascii="黑体" w:eastAsia="黑体" w:hAnsi="黑体" w:hint="eastAsia"/>
        </w:rPr>
        <w:lastRenderedPageBreak/>
        <w:t>第七十一届会议</w:t>
      </w:r>
    </w:p>
    <w:p w:rsidR="00B31E9D" w:rsidRDefault="006E6911" w:rsidP="006E6911">
      <w:pPr>
        <w:pStyle w:val="SingleTxt"/>
        <w:spacing w:after="360"/>
        <w:ind w:left="0"/>
      </w:pPr>
      <w:r>
        <w:rPr>
          <w:rFonts w:hint="eastAsia"/>
        </w:rPr>
        <w:t>议程项目</w:t>
      </w:r>
      <w:r>
        <w:rPr>
          <w:rFonts w:hint="eastAsia"/>
        </w:rPr>
        <w:t>68(c)</w:t>
      </w:r>
    </w:p>
    <w:p w:rsidR="006E6911" w:rsidRDefault="006E6911" w:rsidP="006E6911">
      <w:pPr>
        <w:spacing w:after="240"/>
        <w:jc w:val="center"/>
        <w:outlineLvl w:val="0"/>
        <w:rPr>
          <w:rFonts w:eastAsia="华文中宋"/>
          <w:i/>
          <w:spacing w:val="40"/>
          <w:sz w:val="30"/>
        </w:rPr>
      </w:pPr>
      <w:r w:rsidRPr="007439DE">
        <w:rPr>
          <w:rFonts w:ascii="华文中宋" w:eastAsia="华文中宋" w:hAnsi="华文中宋" w:hint="eastAsia"/>
          <w:spacing w:val="40"/>
          <w:sz w:val="30"/>
        </w:rPr>
        <w:t>2016年12月19日</w:t>
      </w:r>
      <w:r>
        <w:rPr>
          <w:rFonts w:eastAsia="华文中宋" w:hint="eastAsia"/>
          <w:spacing w:val="40"/>
          <w:sz w:val="30"/>
        </w:rPr>
        <w:t>大会决议</w:t>
      </w:r>
    </w:p>
    <w:p w:rsidR="006E6911" w:rsidRDefault="006E6911" w:rsidP="006E6911">
      <w:pPr>
        <w:spacing w:after="240"/>
        <w:jc w:val="center"/>
        <w:outlineLvl w:val="0"/>
        <w:rPr>
          <w:rFonts w:ascii="宋体" w:hAnsi="宋体"/>
        </w:rPr>
      </w:pPr>
      <w:r>
        <w:rPr>
          <w:rFonts w:ascii="宋体" w:hAnsi="宋体"/>
        </w:rPr>
        <w:t>[根据第三委员会的报告(A/</w:t>
      </w:r>
      <w:r>
        <w:rPr>
          <w:rFonts w:ascii="宋体" w:hAnsi="宋体" w:hint="eastAsia"/>
        </w:rPr>
        <w:t>71/484/Add.3</w:t>
      </w:r>
      <w:r>
        <w:rPr>
          <w:rFonts w:ascii="宋体" w:hAnsi="宋体"/>
        </w:rPr>
        <w:t>)通</w:t>
      </w:r>
      <w:r>
        <w:rPr>
          <w:rFonts w:ascii="宋体" w:hAnsi="宋体" w:hint="eastAsia"/>
        </w:rPr>
        <w:t>过]</w:t>
      </w:r>
    </w:p>
    <w:p w:rsidR="006E6911" w:rsidRPr="00F66417" w:rsidRDefault="006E6911" w:rsidP="006E6911">
      <w:pPr>
        <w:pStyle w:val="1"/>
        <w:spacing w:after="240"/>
        <w:ind w:firstLine="0"/>
        <w:jc w:val="center"/>
      </w:pPr>
      <w:r>
        <w:rPr>
          <w:rFonts w:hint="eastAsia"/>
        </w:rPr>
        <w:t>71/205</w:t>
      </w:r>
      <w:r>
        <w:t>.</w:t>
      </w:r>
      <w:r>
        <w:rPr>
          <w:rFonts w:hint="eastAsia"/>
        </w:rPr>
        <w:t xml:space="preserve"> </w:t>
      </w:r>
      <w:r w:rsidRPr="00F66417">
        <w:rPr>
          <w:rFonts w:hint="eastAsia"/>
        </w:rPr>
        <w:t>克里米亚自治共和国和塞瓦斯托波尔市</w:t>
      </w:r>
      <w:r>
        <w:br/>
      </w:r>
      <w:r w:rsidRPr="00F66417">
        <w:t>(</w:t>
      </w:r>
      <w:r w:rsidRPr="00F66417">
        <w:rPr>
          <w:rFonts w:hint="eastAsia"/>
        </w:rPr>
        <w:t>乌克兰</w:t>
      </w:r>
      <w:r w:rsidRPr="00F66417">
        <w:t>)</w:t>
      </w:r>
      <w:r w:rsidRPr="00F66417">
        <w:rPr>
          <w:rFonts w:hint="eastAsia"/>
        </w:rPr>
        <w:t>的人权状况</w:t>
      </w:r>
    </w:p>
    <w:p w:rsidR="006E6911" w:rsidRPr="00F66417" w:rsidRDefault="006E6911" w:rsidP="006E691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pPr>
      <w:r w:rsidRPr="00F66417">
        <w:tab/>
      </w:r>
      <w:r w:rsidRPr="00D34023">
        <w:rPr>
          <w:rFonts w:ascii="楷体_GB2312" w:eastAsia="楷体_GB2312" w:hAnsi="楷体_GB2312" w:hint="eastAsia"/>
          <w:b/>
        </w:rPr>
        <w:t>大会</w:t>
      </w:r>
      <w:r w:rsidRPr="00F66417">
        <w:rPr>
          <w:rFonts w:hint="eastAsia"/>
        </w:rPr>
        <w:t>，</w:t>
      </w:r>
    </w:p>
    <w:p w:rsidR="006E6911" w:rsidRPr="007439DE" w:rsidRDefault="006E6911" w:rsidP="006E6911">
      <w:pPr>
        <w:pStyle w:val="SingleTxt"/>
        <w:spacing w:after="120"/>
      </w:pPr>
      <w:r w:rsidRPr="00F66417">
        <w:tab/>
      </w:r>
      <w:r w:rsidRPr="007439DE">
        <w:rPr>
          <w:rFonts w:ascii="楷体_GB2312" w:eastAsia="楷体_GB2312" w:hAnsi="楷体_GB2312" w:hint="eastAsia"/>
          <w:b/>
        </w:rPr>
        <w:t>遵循</w:t>
      </w:r>
      <w:r w:rsidRPr="007439DE">
        <w:rPr>
          <w:rFonts w:hint="eastAsia"/>
        </w:rPr>
        <w:t>《联合国宪章》的宗旨和原则，</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回顾</w:t>
      </w:r>
      <w:r w:rsidRPr="007439DE">
        <w:rPr>
          <w:rFonts w:hint="eastAsia"/>
        </w:rPr>
        <w:t>《世界人权宣言》、</w:t>
      </w:r>
      <w:r w:rsidRPr="006E6911">
        <w:rPr>
          <w:rStyle w:val="a3"/>
        </w:rPr>
        <w:footnoteReference w:id="1"/>
      </w:r>
      <w:r w:rsidRPr="007439DE">
        <w:rPr>
          <w:rStyle w:val="a3"/>
          <w:rFonts w:hint="eastAsia"/>
        </w:rPr>
        <w:t xml:space="preserve"> </w:t>
      </w:r>
      <w:r w:rsidRPr="007439DE">
        <w:rPr>
          <w:rFonts w:hint="eastAsia"/>
        </w:rPr>
        <w:t>国际人权条约和其他有关国际文书和宣言，</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确认</w:t>
      </w:r>
      <w:r w:rsidRPr="007439DE">
        <w:rPr>
          <w:rFonts w:hint="eastAsia"/>
        </w:rPr>
        <w:t>各国对增进和保护人权负有主要责任，</w:t>
      </w:r>
    </w:p>
    <w:p w:rsidR="006E6911" w:rsidRPr="007439DE" w:rsidRDefault="006E6911" w:rsidP="006E6911">
      <w:pPr>
        <w:pStyle w:val="SingleTxt"/>
        <w:spacing w:after="120"/>
        <w:rPr>
          <w:spacing w:val="-4"/>
        </w:rPr>
      </w:pPr>
      <w:r w:rsidRPr="007439DE">
        <w:tab/>
      </w:r>
      <w:r w:rsidRPr="007439DE">
        <w:rPr>
          <w:rFonts w:ascii="楷体_GB2312" w:eastAsia="楷体_GB2312" w:hAnsi="楷体_GB2312" w:hint="eastAsia"/>
          <w:b/>
          <w:spacing w:val="-4"/>
        </w:rPr>
        <w:t>重申</w:t>
      </w:r>
      <w:r w:rsidRPr="007439DE">
        <w:rPr>
          <w:rFonts w:hint="eastAsia"/>
          <w:spacing w:val="-4"/>
        </w:rPr>
        <w:t>各国有责任遵守国际法，包括各国不应进行武力威胁或使用武力侵害任何国家的领土完整或政治独立，避免以任何其他不符合联合国宗旨的方式采取行动的原则，回顾其</w:t>
      </w:r>
      <w:r w:rsidRPr="007439DE">
        <w:rPr>
          <w:rFonts w:hint="eastAsia"/>
          <w:spacing w:val="-4"/>
        </w:rPr>
        <w:t>1970</w:t>
      </w:r>
      <w:r w:rsidRPr="007439DE">
        <w:rPr>
          <w:rFonts w:hint="eastAsia"/>
          <w:spacing w:val="-4"/>
        </w:rPr>
        <w:t>年</w:t>
      </w:r>
      <w:r w:rsidRPr="007439DE">
        <w:rPr>
          <w:rFonts w:hint="eastAsia"/>
          <w:spacing w:val="-4"/>
        </w:rPr>
        <w:t>10</w:t>
      </w:r>
      <w:r w:rsidRPr="007439DE">
        <w:rPr>
          <w:rFonts w:hint="eastAsia"/>
          <w:spacing w:val="-4"/>
        </w:rPr>
        <w:t>月</w:t>
      </w:r>
      <w:r w:rsidRPr="007439DE">
        <w:rPr>
          <w:rFonts w:hint="eastAsia"/>
          <w:spacing w:val="-4"/>
        </w:rPr>
        <w:t>24</w:t>
      </w:r>
      <w:r w:rsidRPr="007439DE">
        <w:rPr>
          <w:rFonts w:hint="eastAsia"/>
          <w:spacing w:val="-4"/>
        </w:rPr>
        <w:t>日第</w:t>
      </w:r>
      <w:r w:rsidRPr="007439DE">
        <w:rPr>
          <w:rFonts w:hint="eastAsia"/>
          <w:spacing w:val="-4"/>
        </w:rPr>
        <w:t>2625(XXV)</w:t>
      </w:r>
      <w:r w:rsidRPr="007439DE">
        <w:rPr>
          <w:rFonts w:hint="eastAsia"/>
          <w:spacing w:val="-4"/>
        </w:rPr>
        <w:t>号决议，其中核准《关于各国依联合国宪章建立友好关系与合作的国际法原则宣言》，并重申其中所载的原则，</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回顾</w:t>
      </w:r>
      <w:r w:rsidRPr="007439DE">
        <w:rPr>
          <w:rFonts w:hint="eastAsia"/>
        </w:rPr>
        <w:t>其关于乌克兰领土完整的</w:t>
      </w:r>
      <w:r w:rsidRPr="007439DE">
        <w:rPr>
          <w:rFonts w:hint="eastAsia"/>
        </w:rPr>
        <w:t>2014</w:t>
      </w:r>
      <w:r w:rsidRPr="007439DE">
        <w:rPr>
          <w:rFonts w:hint="eastAsia"/>
        </w:rPr>
        <w:t>年</w:t>
      </w:r>
      <w:r w:rsidRPr="007439DE">
        <w:rPr>
          <w:rFonts w:hint="eastAsia"/>
        </w:rPr>
        <w:t>3</w:t>
      </w:r>
      <w:r w:rsidRPr="007439DE">
        <w:rPr>
          <w:rFonts w:hint="eastAsia"/>
        </w:rPr>
        <w:t>月</w:t>
      </w:r>
      <w:r w:rsidRPr="007439DE">
        <w:rPr>
          <w:rFonts w:hint="eastAsia"/>
        </w:rPr>
        <w:t>27</w:t>
      </w:r>
      <w:r w:rsidRPr="007439DE">
        <w:rPr>
          <w:rFonts w:hint="eastAsia"/>
        </w:rPr>
        <w:t>日第</w:t>
      </w:r>
      <w:hyperlink r:id="rId16" w:history="1">
        <w:r w:rsidRPr="007439DE">
          <w:rPr>
            <w:rStyle w:val="ad"/>
            <w:rFonts w:hint="eastAsia"/>
          </w:rPr>
          <w:t>68/262</w:t>
        </w:r>
      </w:hyperlink>
      <w:r w:rsidRPr="007439DE">
        <w:rPr>
          <w:rFonts w:hint="eastAsia"/>
        </w:rPr>
        <w:t>号决议，其中大会申明对乌克兰在其国际公认边界内的主权、政治独立、统一和领土完整的承诺，以及国际组织、专门机构和联合国系统内各机构的相关决定，</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谴责</w:t>
      </w:r>
      <w:r w:rsidRPr="007439DE">
        <w:rPr>
          <w:rFonts w:hint="eastAsia"/>
        </w:rPr>
        <w:t>俄罗斯联邦临时占领乌克兰领土的一部分——克里米亚自治共和国和塞瓦斯托波尔市</w:t>
      </w:r>
      <w:r w:rsidRPr="007439DE">
        <w:rPr>
          <w:rFonts w:hint="eastAsia"/>
        </w:rPr>
        <w:t>(</w:t>
      </w:r>
      <w:r w:rsidRPr="007439DE">
        <w:rPr>
          <w:rFonts w:hint="eastAsia"/>
        </w:rPr>
        <w:t>下称“克里米亚”</w:t>
      </w:r>
      <w:r w:rsidRPr="007439DE">
        <w:rPr>
          <w:rFonts w:hint="eastAsia"/>
        </w:rPr>
        <w:t>)</w:t>
      </w:r>
      <w:r w:rsidRPr="007439DE">
        <w:rPr>
          <w:rFonts w:hint="eastAsia"/>
        </w:rPr>
        <w:t>，并重申不承认对这一部分领土的吞并，</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欢迎</w:t>
      </w:r>
      <w:r w:rsidRPr="007439DE">
        <w:rPr>
          <w:rFonts w:hint="eastAsia"/>
        </w:rPr>
        <w:t>联合国人权事务高级专员办事处关于乌克兰人权状况、欧洲委员会人权专员、欧洲安全与合作组织民主制度和人权办公室人权评估团以及少数民族事务</w:t>
      </w:r>
      <w:r w:rsidRPr="007439DE">
        <w:rPr>
          <w:rFonts w:hint="eastAsia"/>
        </w:rPr>
        <w:lastRenderedPageBreak/>
        <w:t>高级专员的报告，这些报告均指出，克里米亚仍在发生侵犯和践踏人权的行为，并指出总的人权状况急剧恶化，</w:t>
      </w:r>
    </w:p>
    <w:p w:rsidR="006E6911" w:rsidRPr="007439DE" w:rsidRDefault="006E6911" w:rsidP="006E6911">
      <w:pPr>
        <w:pStyle w:val="SingleTxt"/>
        <w:spacing w:after="120"/>
      </w:pPr>
      <w:r w:rsidRPr="007439DE">
        <w:tab/>
      </w:r>
      <w:r w:rsidRPr="007439DE">
        <w:rPr>
          <w:rFonts w:ascii="楷体_GB2312" w:eastAsia="楷体_GB2312" w:hAnsi="楷体_GB2312" w:hint="eastAsia"/>
          <w:b/>
          <w:spacing w:val="-2"/>
        </w:rPr>
        <w:t>谴</w:t>
      </w:r>
      <w:r w:rsidRPr="005B0F49">
        <w:rPr>
          <w:rFonts w:ascii="楷体_GB2312" w:eastAsia="楷体_GB2312" w:hAnsi="楷体_GB2312" w:hint="eastAsia"/>
          <w:b/>
          <w:spacing w:val="-6"/>
        </w:rPr>
        <w:t>责</w:t>
      </w:r>
      <w:r w:rsidRPr="005B0F49">
        <w:rPr>
          <w:rFonts w:hint="eastAsia"/>
          <w:spacing w:val="-6"/>
        </w:rPr>
        <w:t>在克里米亚实施俄罗斯联邦法律制度及其对该地区人权状况的负面影响，</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又谴责</w:t>
      </w:r>
      <w:r w:rsidRPr="007439DE">
        <w:rPr>
          <w:rFonts w:hint="eastAsia"/>
        </w:rPr>
        <w:t>据报严重侵犯和践踏克里米亚居民人权的行为，特别是：法外处决、绑架、强迫失踪、出于政治动机的起诉、歧视、骚扰、恐吓、暴力、任意拘留、酷刑和虐待被拘留者并将他们从克里米亚转移到俄罗斯联邦等行为，以及据报践踏其他基本自由的行为，包括言论自由、宗教或信仰的自由，以及结社和和平集会的权利，</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表示严重关切</w:t>
      </w:r>
      <w:r w:rsidRPr="007439DE">
        <w:rPr>
          <w:rFonts w:hint="eastAsia"/>
        </w:rPr>
        <w:t>所谓的克里米亚最高法院</w:t>
      </w:r>
      <w:r w:rsidRPr="007439DE">
        <w:rPr>
          <w:rFonts w:hint="eastAsia"/>
        </w:rPr>
        <w:t>2016</w:t>
      </w:r>
      <w:r w:rsidRPr="007439DE">
        <w:rPr>
          <w:rFonts w:hint="eastAsia"/>
        </w:rPr>
        <w:t>年</w:t>
      </w:r>
      <w:r w:rsidRPr="007439DE">
        <w:rPr>
          <w:rFonts w:hint="eastAsia"/>
        </w:rPr>
        <w:t>4</w:t>
      </w:r>
      <w:r w:rsidRPr="007439DE">
        <w:rPr>
          <w:rFonts w:hint="eastAsia"/>
        </w:rPr>
        <w:t>月</w:t>
      </w:r>
      <w:r w:rsidRPr="007439DE">
        <w:rPr>
          <w:rFonts w:hint="eastAsia"/>
        </w:rPr>
        <w:t>26</w:t>
      </w:r>
      <w:r w:rsidRPr="007439DE">
        <w:rPr>
          <w:rFonts w:hint="eastAsia"/>
        </w:rPr>
        <w:t>日和俄罗斯联邦最高法院</w:t>
      </w:r>
      <w:r w:rsidRPr="007439DE">
        <w:rPr>
          <w:rFonts w:hint="eastAsia"/>
        </w:rPr>
        <w:t>2016</w:t>
      </w:r>
      <w:r w:rsidRPr="007439DE">
        <w:rPr>
          <w:rFonts w:hint="eastAsia"/>
        </w:rPr>
        <w:t>年</w:t>
      </w:r>
      <w:r w:rsidRPr="007439DE">
        <w:rPr>
          <w:rFonts w:hint="eastAsia"/>
        </w:rPr>
        <w:t>9</w:t>
      </w:r>
      <w:r w:rsidRPr="007439DE">
        <w:rPr>
          <w:rFonts w:hint="eastAsia"/>
        </w:rPr>
        <w:t>月</w:t>
      </w:r>
      <w:r w:rsidRPr="007439DE">
        <w:rPr>
          <w:rFonts w:hint="eastAsia"/>
        </w:rPr>
        <w:t>29</w:t>
      </w:r>
      <w:r w:rsidRPr="007439DE">
        <w:rPr>
          <w:rFonts w:hint="eastAsia"/>
        </w:rPr>
        <w:t>日宣布克里米亚鞑靼人自治机构克里米亚鞑靼人民理事会是一个极端主义组织并禁止其活动的裁决，</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回顾</w:t>
      </w:r>
      <w:r w:rsidRPr="007439DE">
        <w:rPr>
          <w:rFonts w:hint="eastAsia"/>
        </w:rPr>
        <w:t>1949</w:t>
      </w:r>
      <w:r w:rsidRPr="007439DE">
        <w:rPr>
          <w:rFonts w:hint="eastAsia"/>
        </w:rPr>
        <w:t>年</w:t>
      </w:r>
      <w:r w:rsidRPr="007439DE">
        <w:rPr>
          <w:rFonts w:hint="eastAsia"/>
        </w:rPr>
        <w:t>8</w:t>
      </w:r>
      <w:r w:rsidRPr="007439DE">
        <w:rPr>
          <w:rFonts w:hint="eastAsia"/>
        </w:rPr>
        <w:t>月</w:t>
      </w:r>
      <w:r w:rsidRPr="007439DE">
        <w:rPr>
          <w:rFonts w:hint="eastAsia"/>
        </w:rPr>
        <w:t>12</w:t>
      </w:r>
      <w:r w:rsidRPr="007439DE">
        <w:rPr>
          <w:rFonts w:hint="eastAsia"/>
        </w:rPr>
        <w:t>日日内瓦四公约</w:t>
      </w:r>
      <w:r w:rsidRPr="006E6911">
        <w:rPr>
          <w:rStyle w:val="a3"/>
        </w:rPr>
        <w:footnoteReference w:id="2"/>
      </w:r>
      <w:r w:rsidRPr="007439DE">
        <w:rPr>
          <w:rStyle w:val="a3"/>
          <w:rFonts w:hint="eastAsia"/>
        </w:rPr>
        <w:t xml:space="preserve"> </w:t>
      </w:r>
      <w:r w:rsidRPr="007439DE">
        <w:rPr>
          <w:rFonts w:hint="eastAsia"/>
        </w:rPr>
        <w:t>禁止占领国迫使被保护人在其武装部队或辅助部队服役，</w:t>
      </w:r>
    </w:p>
    <w:p w:rsidR="006E6911" w:rsidRPr="007439DE" w:rsidRDefault="006E6911" w:rsidP="006E6911">
      <w:pPr>
        <w:pStyle w:val="SingleTxt"/>
        <w:spacing w:after="120"/>
      </w:pPr>
      <w:r w:rsidRPr="007439DE">
        <w:tab/>
      </w:r>
      <w:r w:rsidRPr="007439DE">
        <w:rPr>
          <w:rFonts w:ascii="楷体_GB2312" w:eastAsia="楷体_GB2312" w:hAnsi="楷体_GB2312" w:hint="eastAsia"/>
          <w:b/>
        </w:rPr>
        <w:t>欢迎</w:t>
      </w:r>
      <w:r w:rsidRPr="007439DE">
        <w:rPr>
          <w:rFonts w:hint="eastAsia"/>
        </w:rPr>
        <w:t>秘书长、联合国人权事务高级专员、欧洲安全与合作组织、欧洲委员会和其他国际组织及区域组织继续努力，支持乌克兰促进、保护和确保人权，并表示关切常设区域和国际人权监测机制及人权非政府组织无法安全和不受阻碍地进入克里米亚，</w:t>
      </w:r>
    </w:p>
    <w:p w:rsidR="006E6911" w:rsidRPr="007439DE" w:rsidRDefault="006E6911" w:rsidP="006E6911">
      <w:pPr>
        <w:pStyle w:val="SingleTxt"/>
        <w:spacing w:after="120"/>
      </w:pPr>
      <w:r w:rsidRPr="007439DE">
        <w:tab/>
      </w:r>
      <w:r w:rsidRPr="007439DE">
        <w:rPr>
          <w:rFonts w:hint="eastAsia"/>
        </w:rPr>
        <w:t>1.</w:t>
      </w:r>
      <w:r w:rsidRPr="007439DE">
        <w:rPr>
          <w:rFonts w:hint="eastAsia"/>
        </w:rPr>
        <w:tab/>
      </w:r>
      <w:r w:rsidRPr="007439DE">
        <w:rPr>
          <w:rFonts w:ascii="楷体_GB2312" w:eastAsia="楷体_GB2312" w:hAnsi="楷体_GB2312" w:hint="eastAsia"/>
          <w:b/>
        </w:rPr>
        <w:t>谴责</w:t>
      </w:r>
      <w:r w:rsidRPr="007439DE">
        <w:rPr>
          <w:rFonts w:hint="eastAsia"/>
        </w:rPr>
        <w:t>俄罗斯占领当局对暂时被占领的克里米亚居民、包括克里米亚鞑靼人，以及乌克兰人和属于其他族裔和宗教群体采取的践踏人权行为、歧视措施和做法；</w:t>
      </w:r>
    </w:p>
    <w:p w:rsidR="006E6911" w:rsidRPr="007439DE" w:rsidRDefault="006E6911" w:rsidP="006E6911">
      <w:pPr>
        <w:pStyle w:val="SingleTxt"/>
        <w:spacing w:after="120"/>
      </w:pPr>
      <w:r w:rsidRPr="007439DE">
        <w:tab/>
      </w:r>
      <w:r w:rsidRPr="007439DE">
        <w:rPr>
          <w:rFonts w:hint="eastAsia"/>
        </w:rPr>
        <w:t>2.</w:t>
      </w:r>
      <w:r w:rsidRPr="007439DE">
        <w:tab/>
      </w:r>
      <w:r w:rsidRPr="007439DE">
        <w:rPr>
          <w:rFonts w:ascii="楷体_GB2312" w:eastAsia="楷体_GB2312" w:hAnsi="楷体_GB2312" w:hint="eastAsia"/>
          <w:b/>
        </w:rPr>
        <w:t>敦促</w:t>
      </w:r>
      <w:r w:rsidRPr="007439DE">
        <w:rPr>
          <w:rFonts w:hint="eastAsia"/>
        </w:rPr>
        <w:t>俄罗斯联邦：</w:t>
      </w:r>
    </w:p>
    <w:p w:rsidR="006E6911" w:rsidRPr="007439DE" w:rsidRDefault="006E6911" w:rsidP="006E6911">
      <w:pPr>
        <w:pStyle w:val="SingleTxt"/>
        <w:spacing w:after="120"/>
      </w:pPr>
      <w:r w:rsidRPr="007439DE">
        <w:tab/>
      </w:r>
      <w:r w:rsidRPr="007439DE">
        <w:rPr>
          <w:rFonts w:hint="eastAsia"/>
        </w:rPr>
        <w:t>(a)</w:t>
      </w:r>
      <w:r w:rsidRPr="007439DE">
        <w:rPr>
          <w:rFonts w:hint="eastAsia"/>
        </w:rPr>
        <w:tab/>
      </w:r>
      <w:r w:rsidRPr="007439DE">
        <w:rPr>
          <w:rFonts w:hint="eastAsia"/>
        </w:rPr>
        <w:t>履行其作为占领国所有适用的国际法规定的义务；</w:t>
      </w:r>
    </w:p>
    <w:p w:rsidR="006E6911" w:rsidRPr="007439DE" w:rsidRDefault="006E6911" w:rsidP="006E6911">
      <w:pPr>
        <w:pStyle w:val="SingleTxt"/>
        <w:spacing w:after="120"/>
      </w:pPr>
      <w:r w:rsidRPr="007439DE">
        <w:tab/>
      </w:r>
      <w:r w:rsidRPr="007439DE">
        <w:rPr>
          <w:rFonts w:hint="eastAsia"/>
        </w:rPr>
        <w:t>(b)</w:t>
      </w:r>
      <w:r w:rsidRPr="007439DE">
        <w:rPr>
          <w:rFonts w:hint="eastAsia"/>
        </w:rPr>
        <w:tab/>
      </w:r>
      <w:r w:rsidRPr="007439DE">
        <w:rPr>
          <w:rFonts w:hint="eastAsia"/>
        </w:rPr>
        <w:t>采取一切必要措施立即停止一切侵犯克里米亚居民的行为，特别是据报的歧视性措施和做法、任意拘留、酷刑和其他残忍、不人道或有辱人格的待遇，并废除所有歧视性法律；</w:t>
      </w:r>
    </w:p>
    <w:p w:rsidR="006E6911" w:rsidRPr="007439DE" w:rsidRDefault="006E6911" w:rsidP="006E6911">
      <w:pPr>
        <w:pStyle w:val="SingleTxt"/>
        <w:spacing w:after="120"/>
      </w:pPr>
      <w:r w:rsidRPr="007439DE">
        <w:tab/>
      </w:r>
      <w:r w:rsidRPr="007439DE">
        <w:rPr>
          <w:rFonts w:hint="eastAsia"/>
        </w:rPr>
        <w:t>(c)</w:t>
      </w:r>
      <w:r w:rsidRPr="007439DE">
        <w:rPr>
          <w:rFonts w:hint="eastAsia"/>
        </w:rPr>
        <w:tab/>
      </w:r>
      <w:r w:rsidRPr="007439DE">
        <w:rPr>
          <w:rFonts w:hint="eastAsia"/>
        </w:rPr>
        <w:t>立即释放在不考虑基本司法标准的情况下被非法拘留和判决的乌克兰公民，以及跨越国际公认的边界从克里米亚转移到俄罗斯联邦的乌克兰公民；</w:t>
      </w:r>
    </w:p>
    <w:p w:rsidR="006E6911" w:rsidRPr="007439DE" w:rsidRDefault="006E6911" w:rsidP="006E6911">
      <w:pPr>
        <w:pStyle w:val="SingleTxt"/>
        <w:spacing w:after="120"/>
      </w:pPr>
      <w:r w:rsidRPr="007439DE">
        <w:tab/>
      </w:r>
      <w:r w:rsidRPr="007439DE">
        <w:rPr>
          <w:rFonts w:hint="eastAsia"/>
        </w:rPr>
        <w:t>(d)</w:t>
      </w:r>
      <w:r w:rsidRPr="007439DE">
        <w:rPr>
          <w:rFonts w:hint="eastAsia"/>
        </w:rPr>
        <w:tab/>
      </w:r>
      <w:r w:rsidRPr="007439DE">
        <w:rPr>
          <w:rFonts w:hint="eastAsia"/>
        </w:rPr>
        <w:t>解决有罪不罚问题，确保在独立的司法机关追究那些被发现应对侵犯行为负责者的责任；</w:t>
      </w:r>
    </w:p>
    <w:p w:rsidR="006E6911" w:rsidRPr="007439DE" w:rsidRDefault="006E6911" w:rsidP="006E6911">
      <w:pPr>
        <w:pStyle w:val="SingleTxt"/>
        <w:spacing w:after="120"/>
      </w:pPr>
      <w:r w:rsidRPr="007439DE">
        <w:tab/>
      </w:r>
      <w:r w:rsidRPr="007439DE">
        <w:rPr>
          <w:rFonts w:hint="eastAsia"/>
        </w:rPr>
        <w:t>(e)</w:t>
      </w:r>
      <w:r w:rsidRPr="007439DE">
        <w:rPr>
          <w:rFonts w:hint="eastAsia"/>
        </w:rPr>
        <w:tab/>
      </w:r>
      <w:r w:rsidRPr="007439DE">
        <w:rPr>
          <w:rFonts w:hint="eastAsia"/>
        </w:rPr>
        <w:t>建立和维护一个安全和有利的环境，使记者和人权维护者能在克里米亚独立开展工作，免受不正当的干涉；</w:t>
      </w:r>
    </w:p>
    <w:p w:rsidR="006E6911" w:rsidRPr="007439DE" w:rsidRDefault="006E6911" w:rsidP="006E6911">
      <w:pPr>
        <w:pStyle w:val="SingleTxt"/>
        <w:spacing w:after="120"/>
      </w:pPr>
      <w:r w:rsidRPr="007439DE">
        <w:lastRenderedPageBreak/>
        <w:tab/>
      </w:r>
      <w:r w:rsidRPr="007439DE">
        <w:rPr>
          <w:rFonts w:hint="eastAsia"/>
        </w:rPr>
        <w:t>(f)</w:t>
      </w:r>
      <w:r w:rsidRPr="007439DE">
        <w:rPr>
          <w:rFonts w:hint="eastAsia"/>
        </w:rPr>
        <w:tab/>
      </w:r>
      <w:r w:rsidRPr="007439DE">
        <w:rPr>
          <w:rFonts w:hint="eastAsia"/>
        </w:rPr>
        <w:t>允许重新开放文化和宗教机构；</w:t>
      </w:r>
    </w:p>
    <w:p w:rsidR="006E6911" w:rsidRPr="007439DE" w:rsidRDefault="006E6911" w:rsidP="006E6911">
      <w:pPr>
        <w:pStyle w:val="SingleTxt"/>
        <w:spacing w:after="120"/>
      </w:pPr>
      <w:r w:rsidRPr="007439DE">
        <w:tab/>
      </w:r>
      <w:r w:rsidRPr="007439DE">
        <w:rPr>
          <w:rFonts w:hint="eastAsia"/>
        </w:rPr>
        <w:t>(g)</w:t>
      </w:r>
      <w:r w:rsidRPr="007439DE">
        <w:rPr>
          <w:rFonts w:hint="eastAsia"/>
        </w:rPr>
        <w:tab/>
      </w:r>
      <w:r w:rsidRPr="007439DE">
        <w:rPr>
          <w:rFonts w:hint="eastAsia"/>
        </w:rPr>
        <w:t>立</w:t>
      </w:r>
      <w:r w:rsidRPr="007439DE">
        <w:rPr>
          <w:rFonts w:hint="eastAsia"/>
          <w:spacing w:val="-2"/>
        </w:rPr>
        <w:t>即撤销宣布克里米亚鞑靼族人民理事会是一个极端主义组织并禁止其活动的裁决，并废除禁止克里米亚鞑靼族人民理事会领导人进入克里米亚的裁决；</w:t>
      </w:r>
    </w:p>
    <w:p w:rsidR="006E6911" w:rsidRPr="007439DE" w:rsidRDefault="006E6911" w:rsidP="006E6911">
      <w:pPr>
        <w:pStyle w:val="SingleTxt"/>
        <w:spacing w:after="120"/>
      </w:pPr>
      <w:r w:rsidRPr="007439DE">
        <w:tab/>
      </w:r>
      <w:r w:rsidRPr="007439DE">
        <w:rPr>
          <w:rFonts w:hint="eastAsia"/>
        </w:rPr>
        <w:t>(h)</w:t>
      </w:r>
      <w:r w:rsidRPr="007439DE">
        <w:rPr>
          <w:rFonts w:hint="eastAsia"/>
        </w:rPr>
        <w:tab/>
      </w:r>
      <w:r w:rsidRPr="007439DE">
        <w:rPr>
          <w:rFonts w:hint="eastAsia"/>
        </w:rPr>
        <w:t>立即与联合国人权事务高级专员办事处、欧洲安全与合作组织和欧洲委员会就克里米亚的人权状况全面开展合作</w:t>
      </w:r>
      <w:r>
        <w:rPr>
          <w:rFonts w:hint="eastAsia"/>
        </w:rPr>
        <w:t>；</w:t>
      </w:r>
    </w:p>
    <w:p w:rsidR="006E6911" w:rsidRPr="007439DE" w:rsidRDefault="006E6911" w:rsidP="006E6911">
      <w:pPr>
        <w:pStyle w:val="SingleTxt"/>
        <w:spacing w:after="120"/>
      </w:pPr>
      <w:r w:rsidRPr="007439DE">
        <w:tab/>
      </w:r>
      <w:r w:rsidRPr="007439DE">
        <w:rPr>
          <w:rFonts w:hint="eastAsia"/>
        </w:rPr>
        <w:t>3.</w:t>
      </w:r>
      <w:r w:rsidRPr="007439DE">
        <w:tab/>
      </w:r>
      <w:r w:rsidRPr="007439DE">
        <w:rPr>
          <w:rFonts w:ascii="楷体_GB2312" w:eastAsia="楷体_GB2312" w:hAnsi="楷体_GB2312" w:hint="eastAsia"/>
          <w:b/>
        </w:rPr>
        <w:t>请</w:t>
      </w:r>
      <w:r w:rsidRPr="007439DE">
        <w:rPr>
          <w:rFonts w:hint="eastAsia"/>
        </w:rPr>
        <w:t>秘书长寻求各种方法和手段，包括为此与联合国人权事务高级专员和相关区域组织协商，确保常设区域和国际人权监测机制安全和不受阻碍地进入克里米亚，以使它们能够履行其任务；</w:t>
      </w:r>
    </w:p>
    <w:p w:rsidR="006E6911" w:rsidRPr="007439DE" w:rsidRDefault="006E6911" w:rsidP="006E6911">
      <w:pPr>
        <w:pStyle w:val="SingleTxt"/>
        <w:spacing w:after="120"/>
      </w:pPr>
      <w:r w:rsidRPr="007439DE">
        <w:tab/>
      </w:r>
      <w:r w:rsidRPr="007439DE">
        <w:rPr>
          <w:rFonts w:hint="eastAsia"/>
        </w:rPr>
        <w:t>4.</w:t>
      </w:r>
      <w:r w:rsidRPr="007439DE">
        <w:tab/>
      </w:r>
      <w:r w:rsidRPr="007439DE">
        <w:rPr>
          <w:rFonts w:ascii="楷体_GB2312" w:eastAsia="楷体_GB2312" w:hAnsi="楷体_GB2312" w:hint="eastAsia"/>
          <w:b/>
        </w:rPr>
        <w:t>敦促</w:t>
      </w:r>
      <w:r w:rsidRPr="007439DE">
        <w:rPr>
          <w:rFonts w:hint="eastAsia"/>
        </w:rPr>
        <w:t>俄罗斯联邦确保国际人权监测团和人权问题非政府组织适当和不受阻碍地进入克里米亚的途经，认识到在克里米亚的国际存在对防止局势进一步恶化是至关重要的；</w:t>
      </w:r>
    </w:p>
    <w:p w:rsidR="006E6911" w:rsidRPr="007439DE" w:rsidRDefault="006E6911" w:rsidP="006E6911">
      <w:pPr>
        <w:pStyle w:val="SingleTxt"/>
        <w:spacing w:after="120"/>
      </w:pPr>
      <w:r w:rsidRPr="007439DE">
        <w:tab/>
      </w:r>
      <w:r w:rsidRPr="007439DE">
        <w:rPr>
          <w:rFonts w:hint="eastAsia"/>
        </w:rPr>
        <w:t>5.</w:t>
      </w:r>
      <w:r w:rsidRPr="007439DE">
        <w:tab/>
      </w:r>
      <w:r w:rsidRPr="007439DE">
        <w:rPr>
          <w:rFonts w:ascii="楷体_GB2312" w:eastAsia="楷体_GB2312" w:hAnsi="楷体_GB2312" w:hint="eastAsia"/>
          <w:b/>
        </w:rPr>
        <w:t>请</w:t>
      </w:r>
      <w:r w:rsidRPr="007439DE">
        <w:rPr>
          <w:rFonts w:hint="eastAsia"/>
        </w:rPr>
        <w:t>联合国人权事务高级专员根据现有的任务规定并在目前由自愿捐款供资的乌克兰人权监督团的现有资源范围内，编写关于在暂时被占领的克里米亚自治共和国和塞瓦斯托波尔市的人权状况的专题报告；</w:t>
      </w:r>
    </w:p>
    <w:p w:rsidR="006E6911" w:rsidRPr="007439DE" w:rsidRDefault="006E6911" w:rsidP="006E6911">
      <w:pPr>
        <w:pStyle w:val="SingleTxt"/>
        <w:spacing w:after="120"/>
      </w:pPr>
      <w:r w:rsidRPr="007439DE">
        <w:tab/>
      </w:r>
      <w:r w:rsidRPr="007439DE">
        <w:rPr>
          <w:rFonts w:hint="eastAsia"/>
        </w:rPr>
        <w:t>6.</w:t>
      </w:r>
      <w:r w:rsidRPr="007439DE">
        <w:tab/>
      </w:r>
      <w:r w:rsidRPr="007439DE">
        <w:rPr>
          <w:rFonts w:ascii="楷体_GB2312" w:eastAsia="楷体_GB2312" w:hAnsi="楷体_GB2312" w:hint="eastAsia"/>
          <w:b/>
        </w:rPr>
        <w:t>决定</w:t>
      </w:r>
      <w:r w:rsidRPr="007439DE">
        <w:rPr>
          <w:rFonts w:hint="eastAsia"/>
        </w:rPr>
        <w:t>在大会第七十二届会议题为“促进和保护人权”的项目下继续审议这个问题。</w:t>
      </w:r>
    </w:p>
    <w:p w:rsidR="006E6911" w:rsidRPr="007439DE" w:rsidRDefault="006E6911" w:rsidP="006E6911"/>
    <w:p w:rsidR="006E6911" w:rsidRPr="00782AFF" w:rsidRDefault="006E6911" w:rsidP="006E6911">
      <w:pPr>
        <w:pStyle w:val="af0"/>
        <w:rPr>
          <w:rFonts w:ascii="楷体_GB2312" w:eastAsia="楷体_GB2312" w:hAnsi="华文楷体"/>
        </w:rPr>
      </w:pPr>
      <w:r w:rsidRPr="00782AFF">
        <w:rPr>
          <w:rFonts w:ascii="楷体_GB2312" w:eastAsia="楷体_GB2312" w:hAnsi="华文楷体" w:hint="eastAsia"/>
        </w:rPr>
        <w:t>201</w:t>
      </w:r>
      <w:r>
        <w:rPr>
          <w:rFonts w:ascii="楷体_GB2312" w:eastAsia="楷体_GB2312" w:hAnsi="华文楷体" w:hint="eastAsia"/>
        </w:rPr>
        <w:t>6</w:t>
      </w:r>
      <w:r w:rsidRPr="00782AFF">
        <w:rPr>
          <w:rFonts w:ascii="楷体_GB2312" w:eastAsia="楷体_GB2312" w:hAnsi="华文楷体" w:hint="eastAsia"/>
        </w:rPr>
        <w:t>年</w:t>
      </w:r>
      <w:r>
        <w:rPr>
          <w:rFonts w:ascii="楷体_GB2312" w:eastAsia="楷体_GB2312" w:hAnsi="华文楷体" w:hint="eastAsia"/>
        </w:rPr>
        <w:t>12</w:t>
      </w:r>
      <w:r w:rsidRPr="00782AFF">
        <w:rPr>
          <w:rFonts w:ascii="楷体_GB2312" w:eastAsia="楷体_GB2312" w:hAnsi="华文楷体" w:hint="eastAsia"/>
        </w:rPr>
        <w:t>月</w:t>
      </w:r>
      <w:r>
        <w:rPr>
          <w:rFonts w:ascii="楷体_GB2312" w:eastAsia="楷体_GB2312" w:hAnsi="华文楷体" w:hint="eastAsia"/>
        </w:rPr>
        <w:t>19</w:t>
      </w:r>
      <w:r w:rsidRPr="00782AFF">
        <w:rPr>
          <w:rFonts w:ascii="楷体_GB2312" w:eastAsia="楷体_GB2312" w:hAnsi="华文楷体" w:hint="eastAsia"/>
        </w:rPr>
        <w:t>日</w:t>
      </w:r>
    </w:p>
    <w:p w:rsidR="006E6911" w:rsidRDefault="006E6911" w:rsidP="006E6911">
      <w:pPr>
        <w:pStyle w:val="af0"/>
        <w:rPr>
          <w:rFonts w:ascii="楷体_GB2312" w:eastAsia="楷体_GB2312" w:hAnsi="华文楷体"/>
        </w:rPr>
      </w:pPr>
      <w:r w:rsidRPr="00782AFF">
        <w:rPr>
          <w:rFonts w:ascii="楷体_GB2312" w:eastAsia="楷体_GB2312" w:hAnsi="华文楷体" w:hint="eastAsia"/>
        </w:rPr>
        <w:t>第</w:t>
      </w:r>
      <w:r>
        <w:rPr>
          <w:rFonts w:ascii="楷体_GB2312" w:eastAsia="楷体_GB2312" w:hAnsi="华文楷体" w:hint="eastAsia"/>
        </w:rPr>
        <w:t>65</w:t>
      </w:r>
      <w:r w:rsidRPr="00782AFF">
        <w:rPr>
          <w:rFonts w:ascii="楷体_GB2312" w:eastAsia="楷体_GB2312" w:hAnsi="华文楷体" w:hint="eastAsia"/>
        </w:rPr>
        <w:t>次全体会议</w:t>
      </w:r>
    </w:p>
    <w:p w:rsidR="006E6911" w:rsidRPr="006E6911" w:rsidRDefault="006E6911" w:rsidP="006E6911">
      <w:pPr>
        <w:pStyle w:val="SingleTxt"/>
        <w:spacing w:after="0" w:line="240" w:lineRule="auto"/>
        <w:rPr>
          <w:sz w:val="20"/>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p w:rsidR="006E6911" w:rsidRDefault="006E6911" w:rsidP="006E6911">
      <w:pPr>
        <w:pStyle w:val="SingleTxt"/>
      </w:pPr>
    </w:p>
    <w:p w:rsidR="006E6911" w:rsidRPr="006E6911" w:rsidRDefault="006E6911" w:rsidP="006E6911">
      <w:pPr>
        <w:pStyle w:val="SingleTxt"/>
      </w:pPr>
    </w:p>
    <w:sectPr w:rsidR="006E6911" w:rsidRPr="006E6911" w:rsidSect="007B1850">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2-03T11:59:00Z" w:initials="Start">
    <w:p w:rsidR="007B1850" w:rsidRDefault="007B1850">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end"/>
      </w:r>
      <w:r>
        <w:rPr>
          <w:rStyle w:val="a9"/>
        </w:rPr>
        <w:annotationRef/>
      </w:r>
      <w:r>
        <w:t>&lt;&lt;ODS JOB NO&gt;&gt;N1645576C&lt;&lt;ODS JOB NO&gt;&gt;</w:t>
      </w:r>
    </w:p>
    <w:p w:rsidR="007B1850" w:rsidRDefault="007B1850">
      <w:pPr>
        <w:pStyle w:val="a7"/>
      </w:pPr>
      <w:r>
        <w:t>&lt;&lt;ODS DOC SYMBOL1&gt;&gt;A/RES/71/205&lt;&lt;ODS DOC SYMBOL1&gt;&gt;</w:t>
      </w:r>
    </w:p>
    <w:p w:rsidR="007B1850" w:rsidRDefault="007B1850">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68" w:rsidRDefault="00855568">
      <w:r>
        <w:separator/>
      </w:r>
    </w:p>
  </w:endnote>
  <w:endnote w:type="continuationSeparator" w:id="0">
    <w:p w:rsidR="00855568" w:rsidRDefault="0085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长城楷体">
    <w:altName w:val="Arial Unicode MS"/>
    <w:charset w:val="86"/>
    <w:family w:val="modern"/>
    <w:pitch w:val="fixed"/>
    <w:sig w:usb0="00000003" w:usb1="080E0000" w:usb2="00000010"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B1850" w:rsidTr="007B1850">
      <w:tc>
        <w:tcPr>
          <w:tcW w:w="5028" w:type="dxa"/>
          <w:shd w:val="clear" w:color="auto" w:fill="auto"/>
        </w:tcPr>
        <w:p w:rsidR="007B1850" w:rsidRPr="007B1850" w:rsidRDefault="007B1850" w:rsidP="007B1850">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16-22578 (C)</w:t>
          </w:r>
          <w:r>
            <w:rPr>
              <w:b w:val="0"/>
              <w:w w:val="103"/>
              <w:sz w:val="14"/>
            </w:rPr>
            <w:fldChar w:fldCharType="end"/>
          </w:r>
        </w:p>
      </w:tc>
      <w:tc>
        <w:tcPr>
          <w:tcW w:w="5028" w:type="dxa"/>
          <w:shd w:val="clear" w:color="auto" w:fill="auto"/>
        </w:tcPr>
        <w:p w:rsidR="007B1850" w:rsidRPr="007B1850" w:rsidRDefault="007B1850" w:rsidP="007B1850">
          <w:pPr>
            <w:pStyle w:val="ac"/>
            <w:jc w:val="left"/>
            <w:rPr>
              <w:w w:val="103"/>
            </w:rPr>
          </w:pPr>
          <w:r>
            <w:rPr>
              <w:w w:val="103"/>
            </w:rPr>
            <w:fldChar w:fldCharType="begin"/>
          </w:r>
          <w:r>
            <w:rPr>
              <w:w w:val="103"/>
            </w:rPr>
            <w:instrText xml:space="preserve"> PAGE  \* Arabic  \* MERGEFORMAT </w:instrText>
          </w:r>
          <w:r>
            <w:rPr>
              <w:w w:val="103"/>
            </w:rPr>
            <w:fldChar w:fldCharType="separate"/>
          </w:r>
          <w:r w:rsidR="00C63C1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3C13">
            <w:rPr>
              <w:w w:val="103"/>
            </w:rPr>
            <w:t>2</w:t>
          </w:r>
          <w:r>
            <w:rPr>
              <w:w w:val="103"/>
            </w:rPr>
            <w:fldChar w:fldCharType="end"/>
          </w:r>
        </w:p>
      </w:tc>
    </w:tr>
  </w:tbl>
  <w:p w:rsidR="007B1850" w:rsidRPr="007B1850" w:rsidRDefault="007B1850" w:rsidP="007B185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B1850" w:rsidTr="007B1850">
      <w:tc>
        <w:tcPr>
          <w:tcW w:w="5028" w:type="dxa"/>
          <w:shd w:val="clear" w:color="auto" w:fill="auto"/>
        </w:tcPr>
        <w:p w:rsidR="007B1850" w:rsidRPr="007B1850" w:rsidRDefault="007B1850" w:rsidP="007B1850">
          <w:pPr>
            <w:pStyle w:val="ac"/>
            <w:jc w:val="right"/>
          </w:pPr>
          <w:r>
            <w:fldChar w:fldCharType="begin"/>
          </w:r>
          <w:r>
            <w:instrText xml:space="preserve"> PAGE  \* Arabic  \* MERGEFORMAT </w:instrText>
          </w:r>
          <w:r>
            <w:fldChar w:fldCharType="separate"/>
          </w:r>
          <w:r w:rsidR="006E6911">
            <w:t>3</w:t>
          </w:r>
          <w:r>
            <w:fldChar w:fldCharType="end"/>
          </w:r>
          <w:r>
            <w:t>/</w:t>
          </w:r>
          <w:r w:rsidR="00C63C13">
            <w:fldChar w:fldCharType="begin"/>
          </w:r>
          <w:r w:rsidR="00C63C13">
            <w:instrText xml:space="preserve"> NUMPAGES  \* Arabic  \* MERGEFORMAT </w:instrText>
          </w:r>
          <w:r w:rsidR="00C63C13">
            <w:fldChar w:fldCharType="separate"/>
          </w:r>
          <w:r w:rsidR="006E6911">
            <w:t>3</w:t>
          </w:r>
          <w:r w:rsidR="00C63C13">
            <w:fldChar w:fldCharType="end"/>
          </w:r>
        </w:p>
      </w:tc>
      <w:tc>
        <w:tcPr>
          <w:tcW w:w="5028" w:type="dxa"/>
          <w:shd w:val="clear" w:color="auto" w:fill="auto"/>
        </w:tcPr>
        <w:p w:rsidR="007B1850" w:rsidRPr="007B1850" w:rsidRDefault="007B1850" w:rsidP="007B1850">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16-22578 (C)</w:t>
          </w:r>
          <w:r>
            <w:rPr>
              <w:b w:val="0"/>
              <w:w w:val="103"/>
              <w:sz w:val="14"/>
            </w:rPr>
            <w:fldChar w:fldCharType="end"/>
          </w:r>
        </w:p>
      </w:tc>
    </w:tr>
  </w:tbl>
  <w:p w:rsidR="007B1850" w:rsidRPr="007B1850" w:rsidRDefault="007B1850" w:rsidP="007B185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7B1850" w:rsidTr="007B1850">
      <w:tc>
        <w:tcPr>
          <w:tcW w:w="3744" w:type="dxa"/>
        </w:tcPr>
        <w:p w:rsidR="007B1850" w:rsidRDefault="007B1850" w:rsidP="007B1850">
          <w:pPr>
            <w:pStyle w:val="ac"/>
            <w:rPr>
              <w:b w:val="0"/>
              <w:sz w:val="21"/>
            </w:rPr>
          </w:pPr>
          <w:r>
            <w:rPr>
              <w:b w:val="0"/>
              <w:sz w:val="21"/>
            </w:rPr>
            <w:drawing>
              <wp:anchor distT="0" distB="0" distL="114300" distR="114300" simplePos="0" relativeHeight="251658240" behindDoc="0" locked="0" layoutInCell="1" allowOverlap="1" wp14:anchorId="4B381970" wp14:editId="4234BB20">
                <wp:simplePos x="0" y="0"/>
                <wp:positionH relativeFrom="column">
                  <wp:posOffset>5526404</wp:posOffset>
                </wp:positionH>
                <wp:positionV relativeFrom="paragraph">
                  <wp:posOffset>-197717</wp:posOffset>
                </wp:positionV>
                <wp:extent cx="694690" cy="694690"/>
                <wp:effectExtent l="0" t="0" r="0" b="0"/>
                <wp:wrapNone/>
                <wp:docPr id="3" name="图片 3" descr="http://undocs.org/m2/QRCode2.ashx?DS=A/RES/71/205&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RES/71/205&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1"/>
            </w:rPr>
            <w:fldChar w:fldCharType="begin"/>
          </w:r>
          <w:r>
            <w:rPr>
              <w:b w:val="0"/>
              <w:sz w:val="21"/>
            </w:rPr>
            <w:instrText xml:space="preserve"> DOCVARIABLE "jobn" \* MERGEFORMAT </w:instrText>
          </w:r>
          <w:r>
            <w:rPr>
              <w:b w:val="0"/>
              <w:sz w:val="21"/>
            </w:rPr>
            <w:fldChar w:fldCharType="separate"/>
          </w:r>
          <w:r>
            <w:rPr>
              <w:b w:val="0"/>
              <w:sz w:val="21"/>
            </w:rPr>
            <w:t>16-22578 (C)</w:t>
          </w:r>
          <w:r>
            <w:rPr>
              <w:b w:val="0"/>
              <w:sz w:val="21"/>
            </w:rPr>
            <w:fldChar w:fldCharType="end"/>
          </w:r>
        </w:p>
        <w:p w:rsidR="007B1850" w:rsidRPr="007B1850" w:rsidRDefault="007B1850" w:rsidP="007B1850">
          <w:pPr>
            <w:spacing w:before="80" w:line="210" w:lineRule="exact"/>
            <w:rPr>
              <w:rFonts w:ascii="Barcode 3 of 9 by request" w:hAnsi="Barcode 3 of 9 by request"/>
              <w:sz w:val="24"/>
            </w:rPr>
          </w:pPr>
          <w:r>
            <w:rPr>
              <w:rFonts w:ascii="Barcode 3 of 9 by request" w:hAnsi="Barcode 3 of 9 by request"/>
              <w:sz w:val="24"/>
            </w:rPr>
            <w:t>*1622578*</w:t>
          </w:r>
        </w:p>
      </w:tc>
      <w:tc>
        <w:tcPr>
          <w:tcW w:w="5028" w:type="dxa"/>
        </w:tcPr>
        <w:p w:rsidR="007B1850" w:rsidRDefault="007B1850" w:rsidP="007B1850">
          <w:pPr>
            <w:pStyle w:val="ac"/>
            <w:jc w:val="right"/>
            <w:rPr>
              <w:b w:val="0"/>
              <w:sz w:val="21"/>
            </w:rPr>
          </w:pPr>
          <w:r>
            <w:rPr>
              <w:b w:val="0"/>
              <w:sz w:val="21"/>
            </w:rPr>
            <w:drawing>
              <wp:inline distT="0" distB="0" distL="0" distR="0" wp14:anchorId="7BFB8CF8" wp14:editId="7C5BF7D5">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7B1850" w:rsidRPr="007B1850" w:rsidRDefault="007B1850" w:rsidP="007B1850">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68" w:rsidRPr="006E6911" w:rsidRDefault="006E6911" w:rsidP="006E6911">
      <w:pPr>
        <w:pStyle w:val="ac"/>
        <w:spacing w:after="80"/>
        <w:ind w:left="792"/>
        <w:rPr>
          <w:sz w:val="16"/>
        </w:rPr>
      </w:pPr>
      <w:r w:rsidRPr="006E6911">
        <w:rPr>
          <w:sz w:val="16"/>
        </w:rPr>
        <w:t>__________________</w:t>
      </w:r>
    </w:p>
  </w:footnote>
  <w:footnote w:type="continuationSeparator" w:id="0">
    <w:p w:rsidR="00855568" w:rsidRPr="006E6911" w:rsidRDefault="006E6911" w:rsidP="006E6911">
      <w:pPr>
        <w:pStyle w:val="ac"/>
        <w:spacing w:after="80"/>
        <w:ind w:left="792"/>
        <w:rPr>
          <w:sz w:val="16"/>
        </w:rPr>
      </w:pPr>
      <w:r w:rsidRPr="006E6911">
        <w:rPr>
          <w:sz w:val="16"/>
        </w:rPr>
        <w:t>__________________</w:t>
      </w:r>
    </w:p>
  </w:footnote>
  <w:footnote w:id="1">
    <w:p w:rsidR="006E6911" w:rsidRDefault="006E6911" w:rsidP="006E6911">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Fonts w:hint="eastAsia"/>
        </w:rPr>
        <w:tab/>
      </w:r>
      <w:r w:rsidRPr="00F6064A">
        <w:rPr>
          <w:rFonts w:hint="eastAsia"/>
        </w:rPr>
        <w:t>第</w:t>
      </w:r>
      <w:r w:rsidRPr="00F6064A">
        <w:rPr>
          <w:rFonts w:hint="eastAsia"/>
        </w:rPr>
        <w:t>217A(III)</w:t>
      </w:r>
      <w:r w:rsidRPr="00F6064A">
        <w:rPr>
          <w:rFonts w:hint="eastAsia"/>
        </w:rPr>
        <w:t>号决议。</w:t>
      </w:r>
    </w:p>
  </w:footnote>
  <w:footnote w:id="2">
    <w:p w:rsidR="006E6911" w:rsidRDefault="006E6911" w:rsidP="006E6911">
      <w:pPr>
        <w:pStyle w:val="a5"/>
        <w:tabs>
          <w:tab w:val="clear" w:pos="418"/>
          <w:tab w:val="right" w:pos="1195"/>
          <w:tab w:val="left" w:pos="1264"/>
          <w:tab w:val="left" w:pos="1695"/>
          <w:tab w:val="left" w:pos="2126"/>
          <w:tab w:val="left" w:pos="2557"/>
        </w:tabs>
        <w:ind w:left="1264" w:right="1264" w:hanging="432"/>
      </w:pPr>
      <w:r>
        <w:rPr>
          <w:rFonts w:hint="eastAsia"/>
        </w:rPr>
        <w:tab/>
      </w:r>
      <w:r>
        <w:rPr>
          <w:rStyle w:val="a3"/>
        </w:rPr>
        <w:footnoteRef/>
      </w:r>
      <w:r>
        <w:rPr>
          <w:rFonts w:hint="eastAsia"/>
        </w:rPr>
        <w:tab/>
      </w:r>
      <w:r w:rsidRPr="00F6064A">
        <w:rPr>
          <w:rFonts w:hint="eastAsia"/>
        </w:rPr>
        <w:t>联合国，《条约汇编》，第</w:t>
      </w:r>
      <w:r w:rsidRPr="00F6064A">
        <w:rPr>
          <w:rFonts w:hint="eastAsia"/>
        </w:rPr>
        <w:t>75</w:t>
      </w:r>
      <w:r w:rsidRPr="00F6064A">
        <w:rPr>
          <w:rFonts w:hint="eastAsia"/>
        </w:rPr>
        <w:t>卷，第</w:t>
      </w:r>
      <w:r w:rsidRPr="00F6064A">
        <w:rPr>
          <w:rFonts w:hint="eastAsia"/>
        </w:rPr>
        <w:t>970-973</w:t>
      </w:r>
      <w:r w:rsidRPr="00F6064A">
        <w:rPr>
          <w:rFonts w:hint="eastAsia"/>
        </w:rPr>
        <w:t>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B1850" w:rsidTr="007B1850">
      <w:trPr>
        <w:trHeight w:hRule="exact" w:val="864"/>
      </w:trPr>
      <w:tc>
        <w:tcPr>
          <w:tcW w:w="4838" w:type="dxa"/>
          <w:shd w:val="clear" w:color="auto" w:fill="auto"/>
          <w:vAlign w:val="bottom"/>
        </w:tcPr>
        <w:p w:rsidR="007B1850" w:rsidRPr="007B1850" w:rsidRDefault="007B1850" w:rsidP="007B1850">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A/RES/71/205</w:t>
          </w:r>
          <w:r>
            <w:rPr>
              <w:b/>
              <w:sz w:val="17"/>
            </w:rPr>
            <w:fldChar w:fldCharType="end"/>
          </w:r>
        </w:p>
      </w:tc>
      <w:tc>
        <w:tcPr>
          <w:tcW w:w="5028" w:type="dxa"/>
          <w:shd w:val="clear" w:color="auto" w:fill="auto"/>
          <w:vAlign w:val="bottom"/>
        </w:tcPr>
        <w:p w:rsidR="007B1850" w:rsidRDefault="006E6911" w:rsidP="006E6911">
          <w:pPr>
            <w:pStyle w:val="ab"/>
            <w:spacing w:after="80"/>
            <w:jc w:val="right"/>
          </w:pPr>
          <w:r w:rsidRPr="006E6911">
            <w:rPr>
              <w:rFonts w:hint="eastAsia"/>
              <w:b/>
              <w:sz w:val="17"/>
            </w:rPr>
            <w:t>克里米亚自治共和国和塞瓦斯托波尔市</w:t>
          </w:r>
          <w:r w:rsidRPr="006E6911">
            <w:rPr>
              <w:b/>
              <w:sz w:val="17"/>
            </w:rPr>
            <w:br/>
          </w:r>
          <w:r w:rsidRPr="006E6911">
            <w:rPr>
              <w:rFonts w:hint="eastAsia"/>
              <w:b/>
              <w:sz w:val="17"/>
            </w:rPr>
            <w:t>(</w:t>
          </w:r>
          <w:r w:rsidRPr="006E6911">
            <w:rPr>
              <w:rFonts w:hint="eastAsia"/>
              <w:b/>
              <w:sz w:val="17"/>
            </w:rPr>
            <w:t>乌克兰</w:t>
          </w:r>
          <w:r w:rsidRPr="006E6911">
            <w:rPr>
              <w:rFonts w:hint="eastAsia"/>
              <w:b/>
              <w:sz w:val="17"/>
            </w:rPr>
            <w:t>)</w:t>
          </w:r>
          <w:r w:rsidRPr="006E6911">
            <w:rPr>
              <w:rFonts w:hint="eastAsia"/>
              <w:b/>
              <w:sz w:val="17"/>
            </w:rPr>
            <w:t>的人权状况</w:t>
          </w:r>
        </w:p>
      </w:tc>
    </w:tr>
  </w:tbl>
  <w:p w:rsidR="007B1850" w:rsidRPr="007B1850" w:rsidRDefault="007B1850" w:rsidP="007B185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B1850" w:rsidTr="007B1850">
      <w:trPr>
        <w:trHeight w:hRule="exact" w:val="864"/>
      </w:trPr>
      <w:tc>
        <w:tcPr>
          <w:tcW w:w="4838" w:type="dxa"/>
          <w:shd w:val="clear" w:color="auto" w:fill="auto"/>
          <w:vAlign w:val="bottom"/>
        </w:tcPr>
        <w:p w:rsidR="007B1850" w:rsidRDefault="006E6911" w:rsidP="006E6911">
          <w:pPr>
            <w:pStyle w:val="ab"/>
            <w:spacing w:after="80"/>
            <w:jc w:val="left"/>
          </w:pPr>
          <w:r w:rsidRPr="006E6911">
            <w:rPr>
              <w:rFonts w:hint="eastAsia"/>
              <w:b/>
              <w:sz w:val="17"/>
            </w:rPr>
            <w:t>克里米亚自治共和国和塞瓦斯托波尔市</w:t>
          </w:r>
          <w:r w:rsidRPr="006E6911">
            <w:rPr>
              <w:b/>
              <w:sz w:val="17"/>
            </w:rPr>
            <w:br/>
          </w:r>
          <w:r w:rsidRPr="006E6911">
            <w:rPr>
              <w:rFonts w:hint="eastAsia"/>
              <w:b/>
              <w:sz w:val="17"/>
            </w:rPr>
            <w:t>(</w:t>
          </w:r>
          <w:r w:rsidRPr="006E6911">
            <w:rPr>
              <w:rFonts w:hint="eastAsia"/>
              <w:b/>
              <w:sz w:val="17"/>
            </w:rPr>
            <w:t>乌克兰</w:t>
          </w:r>
          <w:r w:rsidRPr="006E6911">
            <w:rPr>
              <w:rFonts w:hint="eastAsia"/>
              <w:b/>
              <w:sz w:val="17"/>
            </w:rPr>
            <w:t>)</w:t>
          </w:r>
          <w:r w:rsidRPr="006E6911">
            <w:rPr>
              <w:rFonts w:hint="eastAsia"/>
              <w:b/>
              <w:sz w:val="17"/>
            </w:rPr>
            <w:t>的人权状况</w:t>
          </w:r>
        </w:p>
      </w:tc>
      <w:tc>
        <w:tcPr>
          <w:tcW w:w="5028" w:type="dxa"/>
          <w:shd w:val="clear" w:color="auto" w:fill="auto"/>
          <w:vAlign w:val="bottom"/>
        </w:tcPr>
        <w:p w:rsidR="007B1850" w:rsidRPr="007B1850" w:rsidRDefault="007B1850" w:rsidP="007B1850">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A/RES/71/205</w:t>
          </w:r>
          <w:r>
            <w:rPr>
              <w:b/>
              <w:sz w:val="17"/>
            </w:rPr>
            <w:fldChar w:fldCharType="end"/>
          </w:r>
        </w:p>
      </w:tc>
    </w:tr>
  </w:tbl>
  <w:p w:rsidR="007B1850" w:rsidRPr="007B1850" w:rsidRDefault="007B1850" w:rsidP="007B185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7B1850" w:rsidTr="007B1850">
      <w:trPr>
        <w:gridAfter w:val="1"/>
        <w:wAfter w:w="12" w:type="dxa"/>
        <w:trHeight w:hRule="exact" w:val="864"/>
      </w:trPr>
      <w:tc>
        <w:tcPr>
          <w:tcW w:w="1267" w:type="dxa"/>
          <w:tcBorders>
            <w:bottom w:val="single" w:sz="4" w:space="0" w:color="auto"/>
          </w:tcBorders>
          <w:shd w:val="clear" w:color="auto" w:fill="auto"/>
          <w:vAlign w:val="bottom"/>
        </w:tcPr>
        <w:p w:rsidR="007B1850" w:rsidRDefault="007B1850" w:rsidP="007B1850">
          <w:pPr>
            <w:pStyle w:val="ab"/>
            <w:spacing w:after="120"/>
          </w:pPr>
        </w:p>
      </w:tc>
      <w:tc>
        <w:tcPr>
          <w:tcW w:w="1872" w:type="dxa"/>
          <w:tcBorders>
            <w:bottom w:val="single" w:sz="4" w:space="0" w:color="auto"/>
          </w:tcBorders>
          <w:shd w:val="clear" w:color="auto" w:fill="auto"/>
          <w:vAlign w:val="bottom"/>
        </w:tcPr>
        <w:p w:rsidR="007B1850" w:rsidRPr="007B1850" w:rsidRDefault="007B1850" w:rsidP="007B1850">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7B1850" w:rsidRDefault="007B1850" w:rsidP="007B1850">
          <w:pPr>
            <w:pStyle w:val="ab"/>
            <w:spacing w:after="120"/>
          </w:pPr>
        </w:p>
      </w:tc>
      <w:tc>
        <w:tcPr>
          <w:tcW w:w="6523" w:type="dxa"/>
          <w:gridSpan w:val="3"/>
          <w:tcBorders>
            <w:bottom w:val="single" w:sz="4" w:space="0" w:color="auto"/>
          </w:tcBorders>
          <w:shd w:val="clear" w:color="auto" w:fill="auto"/>
          <w:vAlign w:val="bottom"/>
        </w:tcPr>
        <w:p w:rsidR="007B1850" w:rsidRPr="007B1850" w:rsidRDefault="007B1850" w:rsidP="007B1850">
          <w:pPr>
            <w:spacing w:after="80" w:line="240" w:lineRule="auto"/>
            <w:jc w:val="right"/>
            <w:rPr>
              <w:position w:val="-4"/>
            </w:rPr>
          </w:pPr>
          <w:r>
            <w:rPr>
              <w:position w:val="-4"/>
              <w:sz w:val="40"/>
            </w:rPr>
            <w:t>A</w:t>
          </w:r>
          <w:r>
            <w:rPr>
              <w:position w:val="-4"/>
            </w:rPr>
            <w:t>/RES/71/205</w:t>
          </w:r>
        </w:p>
      </w:tc>
    </w:tr>
    <w:tr w:rsidR="007B1850" w:rsidRPr="007B1850" w:rsidTr="007B1850">
      <w:trPr>
        <w:trHeight w:hRule="exact" w:val="2880"/>
      </w:trPr>
      <w:tc>
        <w:tcPr>
          <w:tcW w:w="1267" w:type="dxa"/>
          <w:tcBorders>
            <w:top w:val="single" w:sz="4" w:space="0" w:color="auto"/>
            <w:bottom w:val="single" w:sz="12" w:space="0" w:color="auto"/>
          </w:tcBorders>
          <w:shd w:val="clear" w:color="auto" w:fill="auto"/>
        </w:tcPr>
        <w:p w:rsidR="007B1850" w:rsidRPr="007B1850" w:rsidRDefault="007B1850" w:rsidP="007B1850">
          <w:pPr>
            <w:pStyle w:val="ab"/>
            <w:spacing w:before="109"/>
            <w:ind w:left="-72"/>
          </w:pPr>
          <w:r>
            <w:t xml:space="preserve"> </w:t>
          </w:r>
          <w:r>
            <w:drawing>
              <wp:inline distT="0" distB="0" distL="0" distR="0" wp14:anchorId="4F335CD2" wp14:editId="007CB4FE">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B1850" w:rsidRPr="007B1850" w:rsidRDefault="007B1850" w:rsidP="007B1850">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7B1850" w:rsidRPr="007B1850" w:rsidRDefault="007B1850" w:rsidP="007B1850">
          <w:pPr>
            <w:pStyle w:val="ab"/>
            <w:spacing w:before="109"/>
          </w:pPr>
        </w:p>
      </w:tc>
      <w:tc>
        <w:tcPr>
          <w:tcW w:w="3180" w:type="dxa"/>
          <w:gridSpan w:val="2"/>
          <w:tcBorders>
            <w:top w:val="single" w:sz="4" w:space="0" w:color="auto"/>
            <w:bottom w:val="single" w:sz="12" w:space="0" w:color="auto"/>
          </w:tcBorders>
          <w:shd w:val="clear" w:color="auto" w:fill="auto"/>
        </w:tcPr>
        <w:p w:rsidR="007B1850" w:rsidRDefault="007B1850" w:rsidP="007B1850">
          <w:pPr>
            <w:pStyle w:val="Distr"/>
          </w:pPr>
          <w:r>
            <w:t>Distr.: General</w:t>
          </w:r>
        </w:p>
        <w:p w:rsidR="007B1850" w:rsidRDefault="007B1850" w:rsidP="007B1850">
          <w:pPr>
            <w:pStyle w:val="Publication"/>
          </w:pPr>
          <w:r>
            <w:t>1 February 2017</w:t>
          </w:r>
        </w:p>
        <w:p w:rsidR="007B1850" w:rsidRPr="007B1850" w:rsidRDefault="007B1850" w:rsidP="007B1850"/>
      </w:tc>
    </w:tr>
  </w:tbl>
  <w:p w:rsidR="007B1850" w:rsidRPr="007B1850" w:rsidRDefault="007B1850" w:rsidP="007B1850">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578*"/>
    <w:docVar w:name="CreationDt" w:val="03/02/2017 11:59:34"/>
    <w:docVar w:name="DocCategory" w:val="Doc"/>
    <w:docVar w:name="DocType" w:val="Final"/>
    <w:docVar w:name="DutyStation" w:val="New York"/>
    <w:docVar w:name="FooterJN" w:val="16-22578 (C)"/>
    <w:docVar w:name="jobn" w:val="16-22578 (C)"/>
    <w:docVar w:name="jobnDT" w:val="16-22578 (C)   030217"/>
    <w:docVar w:name="jobnDTDT" w:val="16-22578 (C)   030217   030217"/>
    <w:docVar w:name="JobNo" w:val="1622578C"/>
    <w:docVar w:name="LocalDrive" w:val="0"/>
    <w:docVar w:name="OandT" w:val="sheng"/>
    <w:docVar w:name="PaperSize" w:val="Letter"/>
    <w:docVar w:name="sss1" w:val="A/RES/71/205"/>
    <w:docVar w:name="sss2" w:val="-"/>
    <w:docVar w:name="Symbol1" w:val="A/RES/71/205"/>
    <w:docVar w:name="Symbol2" w:val="-"/>
  </w:docVars>
  <w:rsids>
    <w:rsidRoot w:val="00855568"/>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00B5"/>
    <w:rsid w:val="00201C2E"/>
    <w:rsid w:val="00203760"/>
    <w:rsid w:val="002046D7"/>
    <w:rsid w:val="00207135"/>
    <w:rsid w:val="00212008"/>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4EFF"/>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0F29"/>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6911"/>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1850"/>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55568"/>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3C13"/>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A4B1B"/>
    <w:rsid w:val="00EB33AC"/>
    <w:rsid w:val="00EC25DE"/>
    <w:rsid w:val="00EC669D"/>
    <w:rsid w:val="00EC6F21"/>
    <w:rsid w:val="00EC7887"/>
    <w:rsid w:val="00ED2708"/>
    <w:rsid w:val="00ED2D39"/>
    <w:rsid w:val="00ED3A3A"/>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uiPriority w:val="99"/>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uiPriority w:val="99"/>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styleId="af0">
    <w:name w:val="Closing"/>
    <w:basedOn w:val="a"/>
    <w:link w:val="Char0"/>
    <w:rsid w:val="006E6911"/>
    <w:pPr>
      <w:widowControl w:val="0"/>
      <w:adjustRightInd w:val="0"/>
      <w:spacing w:line="240" w:lineRule="auto"/>
      <w:ind w:left="1264" w:right="1264"/>
      <w:jc w:val="right"/>
      <w:textAlignment w:val="baseline"/>
    </w:pPr>
    <w:rPr>
      <w:rFonts w:ascii="长城楷体" w:eastAsia="长城楷体"/>
      <w:kern w:val="24"/>
    </w:rPr>
  </w:style>
  <w:style w:type="character" w:customStyle="1" w:styleId="Char0">
    <w:name w:val="结束语 Char"/>
    <w:basedOn w:val="a0"/>
    <w:link w:val="af0"/>
    <w:rsid w:val="006E6911"/>
    <w:rPr>
      <w:rFonts w:ascii="长城楷体" w:eastAsia="长城楷体"/>
      <w:kern w:val="24"/>
      <w:sz w:val="21"/>
      <w:lang w:val="en-US"/>
    </w:rPr>
  </w:style>
  <w:style w:type="character" w:customStyle="1" w:styleId="Char">
    <w:name w:val="脚注文本 Char"/>
    <w:link w:val="a5"/>
    <w:uiPriority w:val="99"/>
    <w:semiHidden/>
    <w:rsid w:val="006E6911"/>
    <w:rPr>
      <w:rFonts w:eastAsia="宋体"/>
      <w:noProof/>
      <w:kern w:val="14"/>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uiPriority w:val="99"/>
    <w:semiHidden/>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link w:val="Char"/>
    <w:uiPriority w:val="99"/>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styleId="af0">
    <w:name w:val="Closing"/>
    <w:basedOn w:val="a"/>
    <w:link w:val="Char0"/>
    <w:rsid w:val="006E6911"/>
    <w:pPr>
      <w:widowControl w:val="0"/>
      <w:adjustRightInd w:val="0"/>
      <w:spacing w:line="240" w:lineRule="auto"/>
      <w:ind w:left="1264" w:right="1264"/>
      <w:jc w:val="right"/>
      <w:textAlignment w:val="baseline"/>
    </w:pPr>
    <w:rPr>
      <w:rFonts w:ascii="长城楷体" w:eastAsia="长城楷体"/>
      <w:kern w:val="24"/>
    </w:rPr>
  </w:style>
  <w:style w:type="character" w:customStyle="1" w:styleId="Char0">
    <w:name w:val="结束语 Char"/>
    <w:basedOn w:val="a0"/>
    <w:link w:val="af0"/>
    <w:rsid w:val="006E6911"/>
    <w:rPr>
      <w:rFonts w:ascii="长城楷体" w:eastAsia="长城楷体"/>
      <w:kern w:val="24"/>
      <w:sz w:val="21"/>
      <w:lang w:val="en-US"/>
    </w:rPr>
  </w:style>
  <w:style w:type="character" w:customStyle="1" w:styleId="Char">
    <w:name w:val="脚注文本 Char"/>
    <w:link w:val="a5"/>
    <w:uiPriority w:val="99"/>
    <w:semiHidden/>
    <w:rsid w:val="006E6911"/>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h/A/RES/68/2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1811-EFD5-4708-A48E-ADAE9D0A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290</Words>
  <Characters>1653</Characters>
  <Application>Microsoft Office Word</Application>
  <DocSecurity>0</DocSecurity>
  <Lines>13</Lines>
  <Paragraphs>3</Paragraphs>
  <ScaleCrop>false</ScaleCrop>
  <Company>United Nations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Zhenxue Sheng</dc:creator>
  <cp:keywords/>
  <dc:description/>
  <cp:lastModifiedBy>Ctpu1</cp:lastModifiedBy>
  <cp:revision>6</cp:revision>
  <dcterms:created xsi:type="dcterms:W3CDTF">2017-02-03T16:58:00Z</dcterms:created>
  <dcterms:modified xsi:type="dcterms:W3CDTF">2017-02-06T15:52:00Z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1622578</vt:lpwstr>
  </property>
  <property fmtid="{D5CDD505-2E9C-101B-9397-08002B2CF9AE}" pid="3" name="ODSRefJobNo">
    <vt:lpwstr>1645576C</vt:lpwstr>
  </property>
  <property fmtid="{D5CDD505-2E9C-101B-9397-08002B2CF9AE}" pid="4" name="Symbol1">
    <vt:lpwstr>A/RES/71/205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 February 2017</vt:lpwstr>
  </property>
  <property fmtid="{D5CDD505-2E9C-101B-9397-08002B2CF9AE}" pid="9" name="Comment">
    <vt:lpwstr/>
  </property>
  <property fmtid="{D5CDD505-2E9C-101B-9397-08002B2CF9AE}" pid="10" name="DraftPages">
    <vt:lpwstr> </vt:lpwstr>
  </property>
  <property fmtid="{D5CDD505-2E9C-101B-9397-08002B2CF9AE}" pid="11" name="Operator">
    <vt:lpwstr>sheng</vt:lpwstr>
  </property>
</Properties>
</file>