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3B" w:rsidRPr="007A3D9A" w:rsidRDefault="00E40D3B" w:rsidP="00E40D3B">
      <w:pPr>
        <w:spacing w:line="240" w:lineRule="auto"/>
        <w:rPr>
          <w:sz w:val="2"/>
        </w:rPr>
        <w:sectPr w:rsidR="00E40D3B" w:rsidRPr="007A3D9A" w:rsidSect="00E40D3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32" w:left="1200" w:header="576" w:footer="1030" w:gutter="0"/>
          <w:cols w:space="720"/>
          <w:titlePg/>
          <w:docGrid w:linePitch="360"/>
        </w:sectPr>
      </w:pPr>
      <w:r w:rsidRPr="007A3D9A">
        <w:rPr>
          <w:rStyle w:val="CommentReference"/>
        </w:rPr>
        <w:commentReference w:id="0"/>
      </w:r>
      <w:bookmarkStart w:id="1" w:name="_GoBack"/>
      <w:bookmarkEnd w:id="1"/>
    </w:p>
    <w:p w:rsidR="00306E0D" w:rsidRDefault="00306E0D" w:rsidP="00306E0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2" w:name="BeginPage"/>
      <w:r>
        <w:lastRenderedPageBreak/>
        <w:t xml:space="preserve">Seventy-first session </w:t>
      </w:r>
    </w:p>
    <w:p w:rsidR="00306E0D" w:rsidRDefault="00306E0D" w:rsidP="00306E0D">
      <w:r>
        <w:t xml:space="preserve">Agenda item 152 </w:t>
      </w:r>
    </w:p>
    <w:p w:rsidR="00306E0D" w:rsidRDefault="00306E0D" w:rsidP="00306E0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Financing of the United Nations Operation in Côte d</w:t>
      </w:r>
      <w:r w:rsidR="00C46DBF">
        <w:t>’</w:t>
      </w:r>
      <w:r>
        <w:t>Ivoire</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Pr="00306E0D" w:rsidRDefault="00306E0D" w:rsidP="00507E56">
      <w:pPr>
        <w:pStyle w:val="HCh"/>
        <w:ind w:left="1267" w:right="1260" w:hanging="1267"/>
        <w:rPr>
          <w:spacing w:val="4"/>
        </w:rPr>
      </w:pPr>
      <w:r>
        <w:tab/>
      </w:r>
      <w:r>
        <w:tab/>
      </w:r>
      <w:r w:rsidRPr="00306E0D">
        <w:rPr>
          <w:spacing w:val="4"/>
        </w:rPr>
        <w:t>Revised budget for the United Nations Operation in</w:t>
      </w:r>
      <w:r w:rsidR="00507E56">
        <w:rPr>
          <w:spacing w:val="4"/>
        </w:rPr>
        <w:t xml:space="preserve"> </w:t>
      </w:r>
      <w:r w:rsidRPr="00306E0D">
        <w:rPr>
          <w:spacing w:val="4"/>
        </w:rPr>
        <w:t>Côte</w:t>
      </w:r>
      <w:r w:rsidR="00507E56">
        <w:rPr>
          <w:spacing w:val="4"/>
        </w:rPr>
        <w:t> </w:t>
      </w:r>
      <w:r w:rsidRPr="00306E0D">
        <w:rPr>
          <w:spacing w:val="4"/>
        </w:rPr>
        <w:t>d</w:t>
      </w:r>
      <w:r w:rsidR="00C46DBF">
        <w:rPr>
          <w:spacing w:val="4"/>
        </w:rPr>
        <w:t>’</w:t>
      </w:r>
      <w:r w:rsidRPr="00306E0D">
        <w:rPr>
          <w:spacing w:val="4"/>
        </w:rPr>
        <w:t xml:space="preserve">Ivoire for the period from 1 July 2016 to </w:t>
      </w:r>
      <w:r w:rsidR="00507E56">
        <w:rPr>
          <w:spacing w:val="4"/>
        </w:rPr>
        <w:br/>
      </w:r>
      <w:r w:rsidRPr="00306E0D">
        <w:rPr>
          <w:spacing w:val="4"/>
        </w:rPr>
        <w:t xml:space="preserve">30 June 2017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306E0D">
      <w:pPr>
        <w:pStyle w:val="H1"/>
        <w:ind w:right="1260"/>
      </w:pPr>
      <w:r>
        <w:tab/>
      </w:r>
      <w:r>
        <w:tab/>
        <w:t xml:space="preserve">Report of the Advisory Committee on Administrative and Budgetary Questions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306E0D">
      <w:pPr>
        <w:pStyle w:val="HCh"/>
        <w:ind w:left="1267" w:right="1260" w:hanging="1267"/>
      </w:pPr>
      <w:r>
        <w:tab/>
        <w:t>I.</w:t>
      </w:r>
      <w:r>
        <w:tab/>
        <w:t xml:space="preserve">Introduction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3436DF">
      <w:pPr>
        <w:pStyle w:val="SingleTxt"/>
        <w:spacing w:line="230" w:lineRule="atLeast"/>
      </w:pPr>
      <w:r>
        <w:t>1.</w:t>
      </w:r>
      <w:r>
        <w:tab/>
      </w:r>
      <w:r w:rsidRPr="00306E0D">
        <w:rPr>
          <w:b/>
          <w:bCs/>
        </w:rPr>
        <w:t>The recommendations of the Advisory Committee on Administrative and Budgetary Questions in paragraphs 16, 20, 22, 24 and 26 below would entail a reduction of $2,986,000 in the revised budget for the United Nations Operation in Côte d</w:t>
      </w:r>
      <w:r w:rsidR="00C46DBF">
        <w:rPr>
          <w:b/>
          <w:bCs/>
        </w:rPr>
        <w:t>’</w:t>
      </w:r>
      <w:r w:rsidRPr="00306E0D">
        <w:rPr>
          <w:b/>
          <w:bCs/>
        </w:rPr>
        <w:t>Ivoire (UNOCI) for the period from 1 July 2016 to 30 June 2017</w:t>
      </w:r>
      <w:r>
        <w:t xml:space="preserve"> (</w:t>
      </w:r>
      <w:hyperlink r:id="rId16" w:history="1">
        <w:r w:rsidRPr="00306E0D">
          <w:rPr>
            <w:rStyle w:val="Hyperlink"/>
          </w:rPr>
          <w:t>A/71/599</w:t>
        </w:r>
      </w:hyperlink>
      <w:r>
        <w:t>). The Committee has made recommendations and observations on specific issues, where appropriate, in the paragraphs below.</w:t>
      </w:r>
    </w:p>
    <w:p w:rsidR="00306E0D" w:rsidRDefault="00306E0D" w:rsidP="003436DF">
      <w:pPr>
        <w:pStyle w:val="SingleTxt"/>
        <w:spacing w:line="230" w:lineRule="atLeast"/>
      </w:pPr>
      <w:r>
        <w:t>2.</w:t>
      </w:r>
      <w:r>
        <w:tab/>
        <w:t>The Advisory Committee on Administrative and Budgetary Questions has considered an advance version of the report of the Secretary-General on the revised budget for the United Nations Operation in Côte d</w:t>
      </w:r>
      <w:r w:rsidR="00C46DBF">
        <w:t>’</w:t>
      </w:r>
      <w:r>
        <w:t>Ivoire (UNOCI) for the period from 1 July 2016 to 30 June 2017 (</w:t>
      </w:r>
      <w:hyperlink r:id="rId17" w:history="1">
        <w:r w:rsidRPr="00306E0D">
          <w:rPr>
            <w:rStyle w:val="Hyperlink"/>
          </w:rPr>
          <w:t>A/71/599</w:t>
        </w:r>
      </w:hyperlink>
      <w:r>
        <w:t>). During its consideration of the report, the Advisory Committee met with representatives of the Secretary-General, who provided additional information and clarification, concluding with written responses received on 7 December 2016.</w:t>
      </w:r>
    </w:p>
    <w:p w:rsidR="00306E0D" w:rsidRPr="00B20E21" w:rsidRDefault="00306E0D" w:rsidP="003436DF">
      <w:pPr>
        <w:pStyle w:val="SingleTxt"/>
        <w:spacing w:line="230" w:lineRule="atLeast"/>
        <w:rPr>
          <w:spacing w:val="2"/>
          <w:w w:val="101"/>
        </w:rPr>
      </w:pPr>
      <w:r w:rsidRPr="00B20E21">
        <w:rPr>
          <w:spacing w:val="2"/>
          <w:w w:val="101"/>
        </w:rPr>
        <w:t>3.</w:t>
      </w:r>
      <w:r w:rsidRPr="00B20E21">
        <w:rPr>
          <w:spacing w:val="2"/>
          <w:w w:val="101"/>
        </w:rPr>
        <w:tab/>
        <w:t>The Advisory Committee recalls that, on 22 February 2016, the Secretary-General submitted the initial budget proposal for UNOCI for the 2016/17 period to the General Assembly (</w:t>
      </w:r>
      <w:hyperlink r:id="rId18" w:history="1">
        <w:r w:rsidRPr="00B20E21">
          <w:rPr>
            <w:rStyle w:val="Hyperlink"/>
            <w:spacing w:val="2"/>
            <w:w w:val="101"/>
          </w:rPr>
          <w:t>A/70/753</w:t>
        </w:r>
      </w:hyperlink>
      <w:r w:rsidRPr="00B20E21">
        <w:rPr>
          <w:spacing w:val="2"/>
          <w:w w:val="101"/>
        </w:rPr>
        <w:t xml:space="preserve">). On 28 April 2016, the Security Council decided to extend the mandate of the Operation for a final period until 30 June 2017 in its resolution </w:t>
      </w:r>
      <w:hyperlink r:id="rId19" w:history="1">
        <w:r w:rsidRPr="00B20E21">
          <w:rPr>
            <w:rStyle w:val="Hyperlink"/>
            <w:spacing w:val="2"/>
            <w:w w:val="101"/>
          </w:rPr>
          <w:t>2284 (2016)</w:t>
        </w:r>
      </w:hyperlink>
      <w:r w:rsidRPr="00B20E21">
        <w:rPr>
          <w:spacing w:val="2"/>
          <w:w w:val="101"/>
        </w:rPr>
        <w:t xml:space="preserve"> (see also para. 6 below). On 2 May 2016, the Advisory Committee was informed that the Secretariat was reviewing the impact of Council resolution </w:t>
      </w:r>
      <w:hyperlink r:id="rId20" w:history="1">
        <w:r w:rsidRPr="00B20E21">
          <w:rPr>
            <w:rStyle w:val="Hyperlink"/>
            <w:spacing w:val="2"/>
            <w:w w:val="101"/>
          </w:rPr>
          <w:t>2284 (2016)</w:t>
        </w:r>
      </w:hyperlink>
      <w:r w:rsidRPr="00B20E21">
        <w:rPr>
          <w:spacing w:val="2"/>
          <w:w w:val="101"/>
        </w:rPr>
        <w:t xml:space="preserve"> on the financing of UNOCI and that the Secretary-General would present a revised budget proposal for 2016/17 for consideration by the Assembly during the main part of its seventy-first session (see </w:t>
      </w:r>
      <w:hyperlink r:id="rId21" w:history="1">
        <w:r w:rsidRPr="00B20E21">
          <w:rPr>
            <w:rStyle w:val="Hyperlink"/>
            <w:spacing w:val="2"/>
            <w:w w:val="101"/>
          </w:rPr>
          <w:t>A/70/742/Add.13</w:t>
        </w:r>
      </w:hyperlink>
      <w:r w:rsidRPr="00B20E21">
        <w:rPr>
          <w:spacing w:val="2"/>
          <w:w w:val="101"/>
        </w:rPr>
        <w:t xml:space="preserve">, para. 11). </w:t>
      </w:r>
    </w:p>
    <w:p w:rsidR="00306E0D" w:rsidRDefault="00306E0D" w:rsidP="00306E0D">
      <w:pPr>
        <w:pStyle w:val="SingleTxt"/>
      </w:pPr>
      <w:r>
        <w:lastRenderedPageBreak/>
        <w:t>4.</w:t>
      </w:r>
      <w:r>
        <w:tab/>
        <w:t>Consequently, the Advisory Committee did not consider it appropriate to make any recommendations on the Secretary-General</w:t>
      </w:r>
      <w:r w:rsidR="00C46DBF">
        <w:t>’</w:t>
      </w:r>
      <w:r>
        <w:t xml:space="preserve">s initial budget proposal for the full financial period 2016/17 at that time, and instead recommended that the General Assembly authorize the Secretary-General to enter into commitments with assessment in the amount of $160,354,500 (equal to half of the proposed budget for 2016/17) for the maintenance of UNOCI for the six-month period from 1 July to 31 December 2016. </w:t>
      </w:r>
    </w:p>
    <w:p w:rsidR="00306E0D" w:rsidRDefault="00306E0D" w:rsidP="00306E0D">
      <w:pPr>
        <w:pStyle w:val="SingleTxt"/>
      </w:pPr>
      <w:r>
        <w:t>5.</w:t>
      </w:r>
      <w:r>
        <w:tab/>
        <w:t xml:space="preserve">In paragraphs 15 and 16 of its resolution </w:t>
      </w:r>
      <w:hyperlink r:id="rId22" w:history="1">
        <w:r w:rsidRPr="00306E0D">
          <w:rPr>
            <w:rStyle w:val="Hyperlink"/>
          </w:rPr>
          <w:t>70/272</w:t>
        </w:r>
      </w:hyperlink>
      <w:r>
        <w:t>, the General Assembly subsequently authorized the Secretary-General to enter into commitments for the Operation in a total amount not exceeding $153,046,000 for the period from 1 July to 31 December 2016 and decided to apportion among Member States the same amount for the six-month period.</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306E0D">
      <w:pPr>
        <w:pStyle w:val="HCh"/>
        <w:ind w:left="1267" w:right="1260" w:hanging="1267"/>
      </w:pPr>
      <w:r>
        <w:tab/>
        <w:t>II.</w:t>
      </w:r>
      <w:r>
        <w:tab/>
      </w:r>
      <w:r w:rsidRPr="00306E0D">
        <w:rPr>
          <w:spacing w:val="4"/>
        </w:rPr>
        <w:t xml:space="preserve">Revised budget for the period from 1 July 2016 to </w:t>
      </w:r>
      <w:r w:rsidRPr="00306E0D">
        <w:rPr>
          <w:spacing w:val="4"/>
        </w:rPr>
        <w:br/>
        <w:t>30 June 2017</w:t>
      </w:r>
      <w:r>
        <w:t xml:space="preserve">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306E0D">
      <w:pPr>
        <w:pStyle w:val="H1"/>
        <w:ind w:right="1260"/>
      </w:pPr>
      <w:r>
        <w:tab/>
        <w:t>A.</w:t>
      </w:r>
      <w:r>
        <w:tab/>
        <w:t xml:space="preserve">Mandate and planned results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B20E21">
      <w:pPr>
        <w:pStyle w:val="SingleTxt"/>
        <w:spacing w:line="230" w:lineRule="atLeast"/>
      </w:pPr>
      <w:r>
        <w:t>6.</w:t>
      </w:r>
      <w:r>
        <w:tab/>
        <w:t xml:space="preserve">The mandate of UNOCI was established by the Security Council in its resolution </w:t>
      </w:r>
      <w:hyperlink r:id="rId23" w:history="1">
        <w:r w:rsidRPr="00306E0D">
          <w:rPr>
            <w:rStyle w:val="Hyperlink"/>
          </w:rPr>
          <w:t>1528 (2004)</w:t>
        </w:r>
      </w:hyperlink>
      <w:r>
        <w:t xml:space="preserve"> and was extended for a final period until 30 June 2017 in its resolution </w:t>
      </w:r>
      <w:hyperlink r:id="rId24" w:history="1">
        <w:r w:rsidRPr="00306E0D">
          <w:rPr>
            <w:rStyle w:val="Hyperlink"/>
          </w:rPr>
          <w:t>2284 (2016)</w:t>
        </w:r>
      </w:hyperlink>
      <w:r>
        <w:t xml:space="preserve">. In paragraphs 17 and 18 of its resolution </w:t>
      </w:r>
      <w:hyperlink r:id="rId25" w:history="1">
        <w:r w:rsidRPr="00306E0D">
          <w:rPr>
            <w:rStyle w:val="Hyperlink"/>
          </w:rPr>
          <w:t>2284 (2016)</w:t>
        </w:r>
      </w:hyperlink>
      <w:r>
        <w:t>, the Council also requested the Secretary-General to complete, by 30 April 2017, the withdrawal of all uniformed and civilian components of the Operation, other than those required to complete the Operation</w:t>
      </w:r>
      <w:r w:rsidR="00C46DBF">
        <w:t>’</w:t>
      </w:r>
      <w:r>
        <w:t xml:space="preserve">s closure from 1 May to 30 June 2017. </w:t>
      </w:r>
    </w:p>
    <w:p w:rsidR="00306E0D" w:rsidRDefault="00306E0D" w:rsidP="00B20E21">
      <w:pPr>
        <w:pStyle w:val="SingleTxt"/>
        <w:spacing w:line="230" w:lineRule="atLeast"/>
      </w:pPr>
      <w:r>
        <w:t>7.</w:t>
      </w:r>
      <w:r>
        <w:tab/>
        <w:t xml:space="preserve">The Advisory Committee was informed that, since the adoption of resolution </w:t>
      </w:r>
      <w:hyperlink r:id="rId26" w:history="1">
        <w:r w:rsidRPr="00306E0D">
          <w:rPr>
            <w:rStyle w:val="Hyperlink"/>
          </w:rPr>
          <w:t>2284 (2016)</w:t>
        </w:r>
      </w:hyperlink>
      <w:r>
        <w:t>, UNOCI has been working on concluding its remaining activities while also transitioning residual functions to the Government, the United Nations country team and partners, and in parallel, liquidating the Operation. To that end, the UNOCI handover plan, which had been developed around six themes in close partnership with the Government, the United Nations country team and partners, was presented to the Prime Minister of Côte d</w:t>
      </w:r>
      <w:r w:rsidR="00C46DBF">
        <w:t>’</w:t>
      </w:r>
      <w:r>
        <w:t>Ivoire on 17 October 2016.</w:t>
      </w:r>
      <w:r w:rsidR="003D6354">
        <w:rPr>
          <w:rStyle w:val="FootnoteReference"/>
        </w:rPr>
        <w:footnoteReference w:id="1"/>
      </w:r>
      <w:r>
        <w:t xml:space="preserve"> Moreover, the parties to the UNOCI handover plan have been progressively increasing their level of support in order for national reconciliation to advance further, for social cohesion to strengthen even more and for peace, security and economic development to remain on track. The Operation</w:t>
      </w:r>
      <w:r w:rsidR="00C46DBF">
        <w:t>’</w:t>
      </w:r>
      <w:r>
        <w:t>s revised budget includes projects to be implemented by the United Nations country team in particular, using assessed funds, as part of the Operation</w:t>
      </w:r>
      <w:r w:rsidR="00C46DBF">
        <w:t>’</w:t>
      </w:r>
      <w:r>
        <w:t xml:space="preserve">s transition and handover, as called for in Security Council resolution </w:t>
      </w:r>
      <w:hyperlink r:id="rId27" w:history="1">
        <w:r w:rsidRPr="00306E0D">
          <w:rPr>
            <w:rStyle w:val="Hyperlink"/>
          </w:rPr>
          <w:t>2284 (2016)</w:t>
        </w:r>
      </w:hyperlink>
      <w:r>
        <w:t xml:space="preserve"> (see paras. 27 to 30 below). </w:t>
      </w:r>
    </w:p>
    <w:p w:rsidR="00306E0D" w:rsidRDefault="00306E0D" w:rsidP="00B20E21">
      <w:pPr>
        <w:pStyle w:val="SingleTxt"/>
        <w:spacing w:line="230" w:lineRule="atLeast"/>
      </w:pPr>
      <w:r>
        <w:t>8.</w:t>
      </w:r>
      <w:r>
        <w:tab/>
        <w:t xml:space="preserve">The Advisory Committee was further informed that the ongoing liquidation of the Operation had resulted in the progressive drawdown of uniformed and civilian personnel and the closure of field locations and campsites. Furthermore, substantive activities of the Operation are scheduled to end by mid-February 2017 in the field and by 30 April 2017 at Operation headquarters, which will allow for the proper processing of assets and clean-up of sites following a full environmental inspection (see paras. 35 to 44 below). </w:t>
      </w:r>
    </w:p>
    <w:p w:rsidR="00306E0D" w:rsidRPr="00306E0D" w:rsidRDefault="00306E0D" w:rsidP="00306E0D">
      <w:pPr>
        <w:pStyle w:val="SingleTxt"/>
        <w:rPr>
          <w:b/>
          <w:bCs/>
        </w:rPr>
      </w:pPr>
      <w:r>
        <w:t>9.</w:t>
      </w:r>
      <w:r>
        <w:tab/>
        <w:t xml:space="preserve">Upon enquiry, the Advisory Committee was informed that the Operation fully expected the repatriation of military and police personnel, the drawdown of civilian personnel, the closure of premises, the disposal of assets and all other aspects of UNOCI liquidation to take place within the timeframe stipulated by the Security Council in its resolution </w:t>
      </w:r>
      <w:hyperlink r:id="rId28" w:history="1">
        <w:r w:rsidRPr="00306E0D">
          <w:rPr>
            <w:rStyle w:val="Hyperlink"/>
          </w:rPr>
          <w:t>2284 (2016)</w:t>
        </w:r>
      </w:hyperlink>
      <w:r>
        <w:t xml:space="preserve">. </w:t>
      </w:r>
      <w:r w:rsidRPr="00306E0D">
        <w:rPr>
          <w:b/>
          <w:bCs/>
        </w:rPr>
        <w:t xml:space="preserve">The Advisory Committee notes the planning for the phased withdrawal, handover activities and the liquidation by UNOCI and welcomes the activities undertaken by the Operation in that regard. The Committee urges the Secretary-General to complete the withdrawal of all the uniformed and civilian components of the Operation and the closure of the Operation as requested by the Security Council in its resolution </w:t>
      </w:r>
      <w:hyperlink r:id="rId29" w:history="1">
        <w:r w:rsidRPr="00306E0D">
          <w:rPr>
            <w:rStyle w:val="Hyperlink"/>
            <w:b/>
            <w:bCs/>
          </w:rPr>
          <w:t>2284 (2016)</w:t>
        </w:r>
      </w:hyperlink>
      <w:r w:rsidRPr="00306E0D">
        <w:rPr>
          <w:b/>
          <w:bCs/>
        </w:rPr>
        <w:t>.</w:t>
      </w:r>
    </w:p>
    <w:p w:rsidR="00306E0D" w:rsidRPr="00306E0D" w:rsidRDefault="00306E0D" w:rsidP="00306E0D">
      <w:pPr>
        <w:pStyle w:val="SingleTxt"/>
        <w:rPr>
          <w:b/>
          <w:bCs/>
        </w:rPr>
      </w:pPr>
      <w:r>
        <w:t>10.</w:t>
      </w:r>
      <w:r>
        <w:tab/>
        <w:t>The Advisory Committee enquired as to the potential impact of the withdrawal of the military contingents, formed police units and the Operation air fleet by February 2017 on the safety and security of the Operation personnel, its substantive work and the activities by the United Nations country team. The Committee was informed that the host country, in accordance with the status-of-forces agreement, was responsible for ensuring that Operation premises, installations and personnel were safe and secure and that the Operation was already in discussion with the Ivorian Government on different options, including arrangements for static security service. In addition, UNOCI indicated that it would retain its Chief Security Adviser, Deputy Security Adviser and 21 Security Officers in the Operation area throughout the liquidation period to ensure that the overall safety and security of personnel, premises and installations were adequately covered, in accordance with the minimum operating security standards and the minimum operating residential security standards of the Organization. Furthermore, the Security Risk Assessment for Côte d</w:t>
      </w:r>
      <w:r w:rsidR="00C46DBF">
        <w:t>’</w:t>
      </w:r>
      <w:r>
        <w:t xml:space="preserve">Ivoire would undergo its annual revision in the first quarter of 2017 and would reflect all changes to the security reconfiguration of the Operation and United Nations country team. The Committee was also informed that, by the end of February 2017, the core substantive work of the Operation would be completed and the withdrawal of the UNOCI force and police would not affect the activities of the United Nations country team. </w:t>
      </w:r>
      <w:r w:rsidRPr="00306E0D">
        <w:rPr>
          <w:b/>
          <w:bCs/>
        </w:rPr>
        <w:t>The Advisory Committee expects that the Secretary-General will take all necessary steps to ensure the safety and security of the Operation personnel, premises and installations following the withdrawal of the Operation</w:t>
      </w:r>
      <w:r w:rsidR="00C46DBF">
        <w:rPr>
          <w:b/>
          <w:bCs/>
        </w:rPr>
        <w:t>’</w:t>
      </w:r>
      <w:r w:rsidRPr="00306E0D">
        <w:rPr>
          <w:b/>
          <w:bCs/>
        </w:rPr>
        <w:t xml:space="preserve">s uniformed components.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306E0D">
      <w:pPr>
        <w:pStyle w:val="H1"/>
        <w:ind w:right="1260"/>
      </w:pPr>
      <w:r>
        <w:tab/>
        <w:t>B.</w:t>
      </w:r>
      <w:r>
        <w:tab/>
        <w:t xml:space="preserve">Resource requirements </w:t>
      </w:r>
    </w:p>
    <w:p w:rsidR="00306E0D" w:rsidRPr="00306E0D" w:rsidRDefault="00306E0D" w:rsidP="00306E0D">
      <w:pPr>
        <w:pStyle w:val="SingleTxt"/>
        <w:spacing w:after="0" w:line="120" w:lineRule="exact"/>
        <w:rPr>
          <w:sz w:val="10"/>
        </w:rPr>
      </w:pPr>
    </w:p>
    <w:p w:rsidR="00306E0D" w:rsidRPr="00306E0D" w:rsidRDefault="00306E0D" w:rsidP="00306E0D">
      <w:pPr>
        <w:pStyle w:val="SingleTxt"/>
        <w:spacing w:after="0" w:line="120" w:lineRule="exact"/>
        <w:rPr>
          <w:sz w:val="10"/>
        </w:rPr>
      </w:pPr>
    </w:p>
    <w:p w:rsidR="00306E0D" w:rsidRDefault="00306E0D" w:rsidP="00C46DBF">
      <w:pPr>
        <w:pStyle w:val="SingleTxt"/>
      </w:pPr>
      <w:r>
        <w:t>11.</w:t>
      </w:r>
      <w:r>
        <w:tab/>
        <w:t xml:space="preserve">The revised budget for UNOCI for the period from 1 July 2016 to 30 June 2017 amounts to $178,874,900, representing a decrease of $223,919,400, or 55.6 per cent, in gross terms, compared with the appropriation of $402,794,300 for 2015/16. The main factor contributing to the decreased requirements is the phased withdrawal and closure of the Operation. A breakdown of the variances is provided in the report of the Secretary-General (see </w:t>
      </w:r>
      <w:hyperlink r:id="rId30" w:history="1">
        <w:r w:rsidRPr="00306E0D">
          <w:rPr>
            <w:rStyle w:val="Hyperlink"/>
          </w:rPr>
          <w:t>A/71/599</w:t>
        </w:r>
      </w:hyperlink>
      <w:r>
        <w:t>, sect. II.A).</w:t>
      </w:r>
    </w:p>
    <w:p w:rsidR="00306E0D" w:rsidRDefault="00306E0D" w:rsidP="00B20E21">
      <w:pPr>
        <w:pStyle w:val="SingleTxt"/>
        <w:spacing w:line="230" w:lineRule="atLeast"/>
      </w:pPr>
      <w:r>
        <w:t>12.</w:t>
      </w:r>
      <w:r>
        <w:tab/>
        <w:t xml:space="preserve">The revised estimates of $178,874,900 for 2016/17 represent an amount of $25,828,900 in addition to the provision of $153,046,000 authorized by the General Assembly for the period from 1 July to 31 December 2016 under the terms of its resolution </w:t>
      </w:r>
      <w:hyperlink r:id="rId31" w:history="1">
        <w:r w:rsidRPr="00306E0D">
          <w:rPr>
            <w:rStyle w:val="Hyperlink"/>
          </w:rPr>
          <w:t>70/272</w:t>
        </w:r>
      </w:hyperlink>
      <w:r>
        <w:t xml:space="preserve"> (see para. 5 above). The Secretary-General reports that, as at 30</w:t>
      </w:r>
      <w:r w:rsidR="006F43A4">
        <w:t> </w:t>
      </w:r>
      <w:r>
        <w:t>September 2016, he has exercised his authority and entered into commitments in the amount of $83,710,800 and that it is projected that expenditures for the period from 1 October 2016 to 30 June 2017 will amount to $95,164,100, which will give rise to a total projected expenditure of $178,874,900 for the 2016/17 period (see</w:t>
      </w:r>
      <w:r w:rsidR="00FC1EBF">
        <w:t> </w:t>
      </w:r>
      <w:hyperlink r:id="rId32" w:history="1">
        <w:r w:rsidRPr="00306E0D">
          <w:rPr>
            <w:rStyle w:val="Hyperlink"/>
          </w:rPr>
          <w:t>A/71/599</w:t>
        </w:r>
      </w:hyperlink>
      <w:r>
        <w:t xml:space="preserve">, paras. 137 to 139 and table 7). Upon request, the Advisory Committee received an updated status of expenditures as at 31 October 2016 for the period 2016/17 (see annex). </w:t>
      </w:r>
    </w:p>
    <w:p w:rsidR="00306E0D" w:rsidRDefault="00306E0D" w:rsidP="00B20E21">
      <w:pPr>
        <w:pStyle w:val="SingleTxt"/>
        <w:spacing w:line="230" w:lineRule="atLeast"/>
      </w:pPr>
      <w:r>
        <w:t>13.</w:t>
      </w:r>
      <w:r>
        <w:tab/>
        <w:t>The Secretary-General indicates that the revised budget for 2016/17 takes into account the following: (a) during the mandate and withdrawal period from 1 July 2016 to 30 April 2017, the gradual withdrawal of up to 137 military observers, 2,601 military contingent personnel, 339 United Nations police officers, 420 formed police personnel, 251 international staff, 545 national staff, 89 United Nations Volunteers and 6 government-provided personnel; and (b) during the Operation</w:t>
      </w:r>
      <w:r w:rsidR="00C46DBF">
        <w:t>’</w:t>
      </w:r>
      <w:r>
        <w:t>s two-month closure period from 1 May to 30 June 2017, the separation of up to 82 international staff, 63 national staff and 14 United Nations Volunteers (see</w:t>
      </w:r>
      <w:r w:rsidR="00FC1EBF">
        <w:t> </w:t>
      </w:r>
      <w:hyperlink r:id="rId33" w:history="1">
        <w:r w:rsidRPr="00306E0D">
          <w:rPr>
            <w:rStyle w:val="Hyperlink"/>
          </w:rPr>
          <w:t>A/71/599</w:t>
        </w:r>
      </w:hyperlink>
      <w:r>
        <w:t xml:space="preserve">, summary). Information with respect to the planned deployment and withdrawal of Operation personnel is provided in the report of the Secretary-General (see </w:t>
      </w:r>
      <w:hyperlink r:id="rId34" w:history="1">
        <w:r w:rsidRPr="00306E0D">
          <w:rPr>
            <w:rStyle w:val="Hyperlink"/>
          </w:rPr>
          <w:t>A/71/599</w:t>
        </w:r>
      </w:hyperlink>
      <w:r>
        <w:t xml:space="preserve">, summary and paras. 31 to 36). </w:t>
      </w:r>
    </w:p>
    <w:p w:rsidR="00306E0D" w:rsidRDefault="00306E0D" w:rsidP="00B20E21">
      <w:pPr>
        <w:pStyle w:val="SingleTxt"/>
        <w:spacing w:line="230" w:lineRule="atLeast"/>
        <w:rPr>
          <w:b/>
          <w:bCs/>
        </w:rPr>
      </w:pPr>
      <w:r>
        <w:t>14.</w:t>
      </w:r>
      <w:r>
        <w:tab/>
        <w:t xml:space="preserve">With regard to the status of death and disability compensation, the Advisory Committee was provided with updated information, upon request, indicating that an amount of $5,728,000 had been paid in respect of 146 claims since the inception of the Operation and that 3 claims were pending as at 31 October 2016. </w:t>
      </w:r>
      <w:r w:rsidRPr="00306E0D">
        <w:rPr>
          <w:b/>
          <w:bCs/>
        </w:rPr>
        <w:t>The Advisory Committee trusts that the outstanding claims will be settled expeditiously.</w:t>
      </w:r>
    </w:p>
    <w:p w:rsidR="00DD03ED" w:rsidRPr="00DD03ED" w:rsidRDefault="00DD03ED" w:rsidP="00DD03ED">
      <w:pPr>
        <w:pStyle w:val="SingleTxt"/>
        <w:spacing w:after="0" w:line="120" w:lineRule="exact"/>
        <w:rPr>
          <w:b/>
          <w:bCs/>
          <w:sz w:val="10"/>
        </w:rPr>
      </w:pPr>
    </w:p>
    <w:p w:rsidR="00306E0D" w:rsidRDefault="00DD03ED" w:rsidP="00DD03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 xml:space="preserve">Consultants </w:t>
      </w:r>
    </w:p>
    <w:p w:rsidR="00DD03ED" w:rsidRPr="00DD03ED" w:rsidRDefault="00DD03ED" w:rsidP="00DD03ED">
      <w:pPr>
        <w:pStyle w:val="SingleTxt"/>
        <w:spacing w:after="0" w:line="120" w:lineRule="exact"/>
        <w:rPr>
          <w:sz w:val="10"/>
        </w:rPr>
      </w:pPr>
    </w:p>
    <w:p w:rsidR="00306E0D" w:rsidRDefault="00306E0D" w:rsidP="00306E0D">
      <w:pPr>
        <w:pStyle w:val="SingleTxt"/>
      </w:pPr>
      <w:r>
        <w:t>15.</w:t>
      </w:r>
      <w:r>
        <w:tab/>
        <w:t>A provision of $784,900 is requested for non-training consultants for 2016/17, representing an increase of $281,900, or 56 per</w:t>
      </w:r>
      <w:r w:rsidR="00FC1EBF">
        <w:t xml:space="preserve"> </w:t>
      </w:r>
      <w:r>
        <w:t xml:space="preserve">cent, compared with the appropriation of $503,000 for 2015/16. The Committee notes that the related expenditure amounted to $294,700, or 59 per cent, of the appropriation for the 2015/16 period. According to the Secretary-General, the main factor contributing to the variance is the additional requirement in the areas of humanitarian and human rights and safe and secure environment to support the transition process, as well as consultants to design a monitoring and evaluation system to support the national disarmament, demobilization and reintegration process (see </w:t>
      </w:r>
      <w:hyperlink r:id="rId35" w:history="1">
        <w:r w:rsidRPr="00306E0D">
          <w:rPr>
            <w:rStyle w:val="Hyperlink"/>
          </w:rPr>
          <w:t>A/71/599</w:t>
        </w:r>
      </w:hyperlink>
      <w:r>
        <w:t xml:space="preserve">, para. 124). </w:t>
      </w:r>
    </w:p>
    <w:p w:rsidR="00887C83" w:rsidRDefault="00306E0D" w:rsidP="00B20E21">
      <w:pPr>
        <w:pStyle w:val="SingleTxt"/>
        <w:rPr>
          <w:b/>
          <w:bCs/>
          <w:spacing w:val="2"/>
          <w:w w:val="102"/>
        </w:rPr>
      </w:pPr>
      <w:r>
        <w:t>16.</w:t>
      </w:r>
      <w:r>
        <w:tab/>
      </w:r>
      <w:r w:rsidRPr="00FE423F">
        <w:rPr>
          <w:spacing w:val="2"/>
          <w:w w:val="102"/>
        </w:rPr>
        <w:t xml:space="preserve">The Advisory Committee sought clarification on the need for the increased requirement for non-training consultants during the drawdown of the Operation, but did not receive satisfactory explanations. </w:t>
      </w:r>
      <w:r w:rsidRPr="00FE423F">
        <w:rPr>
          <w:b/>
          <w:bCs/>
          <w:spacing w:val="2"/>
          <w:w w:val="102"/>
        </w:rPr>
        <w:t>The Advisory Committee is not convinced by the justification provided for the proposed increase under consultants for 2016/17 of $281,900, or 56 per</w:t>
      </w:r>
      <w:r w:rsidR="00FC1EBF" w:rsidRPr="00FE423F">
        <w:rPr>
          <w:b/>
          <w:bCs/>
          <w:spacing w:val="2"/>
          <w:w w:val="102"/>
        </w:rPr>
        <w:t xml:space="preserve"> </w:t>
      </w:r>
      <w:r w:rsidRPr="00FE423F">
        <w:rPr>
          <w:b/>
          <w:bCs/>
          <w:spacing w:val="2"/>
          <w:w w:val="102"/>
        </w:rPr>
        <w:t>cent, over the appropriation for 2015/16. The Committee therefore recommends that the provision for consultants for 2016/17 be maintained at the same level of $503,000 approved for 2015/16.</w:t>
      </w:r>
    </w:p>
    <w:p w:rsidR="00887C83" w:rsidRPr="00887C83" w:rsidRDefault="00887C83" w:rsidP="00887C83">
      <w:pPr>
        <w:pStyle w:val="SingleTxt"/>
        <w:spacing w:after="0" w:line="120" w:lineRule="exact"/>
        <w:rPr>
          <w:b/>
          <w:bCs/>
          <w:spacing w:val="2"/>
          <w:w w:val="102"/>
          <w:sz w:val="10"/>
        </w:rPr>
      </w:pPr>
    </w:p>
    <w:p w:rsidR="00B20E21" w:rsidRDefault="00DD03ED" w:rsidP="00B20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Official travel</w:t>
      </w:r>
    </w:p>
    <w:p w:rsidR="00B20E21" w:rsidRPr="00B20E21" w:rsidRDefault="00B20E21" w:rsidP="00B20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06E0D" w:rsidRDefault="00306E0D" w:rsidP="00B20E21">
      <w:pPr>
        <w:pStyle w:val="SingleTxt"/>
        <w:spacing w:line="230" w:lineRule="exact"/>
      </w:pPr>
      <w:r>
        <w:t>17.</w:t>
      </w:r>
      <w:r>
        <w:tab/>
        <w:t xml:space="preserve">The proposed resource requirements for official travel for 2016/17 amount to $2,991,000, representing a decrease of $25,000, or 0.8 per cent, compared with the appropriation of $3,016,000 for 2015/16. The Advisory Committee notes from the supplementary information provided to it that the expenditure under official travel amounted to $2,070,000 for the 2015/16 period. The Committee also requested a breakdown of the trips taken during 2016 and those planned for the remainder of 2016/17, but did not receive a satisfactory response. </w:t>
      </w:r>
    </w:p>
    <w:p w:rsidR="00306E0D" w:rsidRDefault="00306E0D" w:rsidP="00FE423F">
      <w:pPr>
        <w:pStyle w:val="SingleTxt"/>
        <w:spacing w:line="230" w:lineRule="exact"/>
      </w:pPr>
      <w:r>
        <w:t>18.</w:t>
      </w:r>
      <w:r>
        <w:tab/>
        <w:t xml:space="preserve">A related matter is the proposed resource requirements for training for the period 2016/2017, which amount to $1,771,000, including an amount of $918,000 for training-related travel. The report of the Secretary-General states that the revised requirements for training for the 2016/17 period reflect an overall increase, in comparison with 2015/16, in the number of international and national staff, as well as military and police personnel, planned to be trained, owing to the withdrawal and closure of the Operation by 30 June 2017 (see </w:t>
      </w:r>
      <w:hyperlink r:id="rId36" w:history="1">
        <w:r w:rsidRPr="00306E0D">
          <w:rPr>
            <w:rStyle w:val="Hyperlink"/>
          </w:rPr>
          <w:t>A/71/599</w:t>
        </w:r>
      </w:hyperlink>
      <w:r>
        <w:t xml:space="preserve">, paras. 107 and 109). </w:t>
      </w:r>
    </w:p>
    <w:p w:rsidR="00306E0D" w:rsidRDefault="00306E0D" w:rsidP="00FE423F">
      <w:pPr>
        <w:pStyle w:val="SingleTxt"/>
        <w:spacing w:line="230" w:lineRule="exact"/>
      </w:pPr>
      <w:r>
        <w:t>19.</w:t>
      </w:r>
      <w:r>
        <w:tab/>
        <w:t>However, the Advisory Committee notes the extremely low implementation rates for training activities for 2015/16. It had been planned that 1,530 international staff, 1,189 national staff and 1,049 military and police personnel would participate in training activities during that period, while the actual participation was 245 (16</w:t>
      </w:r>
      <w:r w:rsidR="00C46DBF">
        <w:t> </w:t>
      </w:r>
      <w:r>
        <w:t>per cent), 411 (35 per cent) and 159 (15 per</w:t>
      </w:r>
      <w:r w:rsidR="00387283">
        <w:t xml:space="preserve"> </w:t>
      </w:r>
      <w:r>
        <w:t xml:space="preserve">cent), respectively. Training plans for 2016/17 forecast participation of 1,168, 1,446 and 949 in the respective personnel categories (see </w:t>
      </w:r>
      <w:hyperlink r:id="rId37" w:history="1">
        <w:r w:rsidRPr="00306E0D">
          <w:rPr>
            <w:rStyle w:val="Hyperlink"/>
          </w:rPr>
          <w:t>A/71/599</w:t>
        </w:r>
      </w:hyperlink>
      <w:r>
        <w:t xml:space="preserve">, para. 108). </w:t>
      </w:r>
    </w:p>
    <w:p w:rsidR="00306E0D" w:rsidRDefault="00306E0D" w:rsidP="00FE423F">
      <w:pPr>
        <w:pStyle w:val="SingleTxt"/>
        <w:spacing w:line="230" w:lineRule="exact"/>
        <w:rPr>
          <w:b/>
          <w:bCs/>
          <w:w w:val="102"/>
        </w:rPr>
      </w:pPr>
      <w:r>
        <w:t>20.</w:t>
      </w:r>
      <w:r>
        <w:tab/>
      </w:r>
      <w:r w:rsidRPr="00FE423F">
        <w:rPr>
          <w:b/>
          <w:bCs/>
          <w:w w:val="102"/>
        </w:rPr>
        <w:t>Taking into account the above-mentioned figures, in particular the actual expenditure incurred under official travel for 2015/16 and the reduced requirements for official travel during the phased drawdown of the military and civilian personnel for 2016/17, the Advisory Committee recommends a reduction of $1 million to the proposed requirements under official travel for 2016/17.</w:t>
      </w:r>
    </w:p>
    <w:p w:rsidR="00104F51" w:rsidRPr="00104F51" w:rsidRDefault="00104F51" w:rsidP="00104F51">
      <w:pPr>
        <w:pStyle w:val="SingleTxt"/>
        <w:spacing w:after="0" w:line="120" w:lineRule="exact"/>
        <w:rPr>
          <w:b/>
          <w:bCs/>
          <w:w w:val="102"/>
          <w:sz w:val="10"/>
        </w:rPr>
      </w:pPr>
    </w:p>
    <w:p w:rsidR="00104F51" w:rsidRDefault="00DD03ED" w:rsidP="00FE4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pPr>
      <w:r>
        <w:tab/>
      </w:r>
      <w:r>
        <w:tab/>
      </w:r>
      <w:r w:rsidR="00306E0D">
        <w:t>Ground transportation</w:t>
      </w:r>
    </w:p>
    <w:p w:rsidR="00104F51" w:rsidRPr="00104F51" w:rsidRDefault="00104F51" w:rsidP="00104F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06E0D" w:rsidRDefault="00306E0D" w:rsidP="00FE423F">
      <w:pPr>
        <w:pStyle w:val="SingleTxt"/>
        <w:spacing w:line="230" w:lineRule="exact"/>
      </w:pPr>
      <w:r>
        <w:t>21.</w:t>
      </w:r>
      <w:r>
        <w:tab/>
        <w:t>A provision of $3,703,600 is proposed under ground transportation for 2016/17, representing a decrease of $3,259,200, or 46.8 per cent, compared with the appropriation for 2015/16. The report indicates that the main factor contributing to that variance is the phased withdrawal and the closure of the Operation and the related reduction in requirements for fuel for vehicles and liability insurance, and the lack of a requirement for the acquisition of vehicles or workshop equipment. However, the overall reduction in requirements is offset, in part, by increased requirements for the rental of vehicles and for repair, maintenance and spare parts while the United Nations-owned vehicles fleet is being prepared for disposal (see</w:t>
      </w:r>
      <w:r w:rsidR="00387283">
        <w:t> </w:t>
      </w:r>
      <w:hyperlink r:id="rId38" w:history="1">
        <w:r w:rsidRPr="00306E0D">
          <w:rPr>
            <w:rStyle w:val="Hyperlink"/>
          </w:rPr>
          <w:t>A/71/599</w:t>
        </w:r>
      </w:hyperlink>
      <w:r>
        <w:t xml:space="preserve">, paras. 127 and 128). </w:t>
      </w:r>
    </w:p>
    <w:p w:rsidR="00306E0D" w:rsidRDefault="00306E0D" w:rsidP="00FE423F">
      <w:pPr>
        <w:pStyle w:val="SingleTxt"/>
        <w:spacing w:line="230" w:lineRule="exact"/>
        <w:rPr>
          <w:b/>
          <w:bCs/>
        </w:rPr>
      </w:pPr>
      <w:r>
        <w:t>22.</w:t>
      </w:r>
      <w:r>
        <w:tab/>
        <w:t xml:space="preserve">The Advisory Committee notes from the supplementary information provided to it that, compared with the appropriation for 2015/16, increased requirements in the amount of $667,100 are proposed for the repair and maintenance of vehicles (an increase of $268,600, or 57.4 per cent) and vehicle spare parts (an increase of $398,500, or 94.9 per cent) to prepare the United Nations-owned vehicle fleet for disposal. The Committee requested but did not receive meaningful information assessing the relative costs and benefits of the disposal/transfer of vehicles with or without repairs. </w:t>
      </w:r>
      <w:r w:rsidRPr="00DD03ED">
        <w:rPr>
          <w:b/>
          <w:bCs/>
        </w:rPr>
        <w:t>Taking into account the above, the Advisory Committee recommends a reduction of $667,100 to the proposed resources under ground transportation for 2016/1017.</w:t>
      </w:r>
    </w:p>
    <w:p w:rsidR="00C46DBF" w:rsidRPr="00C46DBF" w:rsidRDefault="00C46DBF" w:rsidP="00C46DBF">
      <w:pPr>
        <w:pStyle w:val="SingleTxt"/>
        <w:spacing w:after="0" w:line="120" w:lineRule="exact"/>
        <w:rPr>
          <w:b/>
          <w:bCs/>
          <w:sz w:val="10"/>
        </w:rPr>
      </w:pPr>
    </w:p>
    <w:p w:rsidR="00306E0D" w:rsidRDefault="00DD03ED" w:rsidP="00104F5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 xml:space="preserve">Communications </w:t>
      </w:r>
    </w:p>
    <w:p w:rsidR="00DD03ED" w:rsidRPr="00DD03ED" w:rsidRDefault="00DD03ED" w:rsidP="00104F51">
      <w:pPr>
        <w:pStyle w:val="SingleTxt"/>
        <w:keepNext/>
        <w:keepLines/>
        <w:spacing w:after="0" w:line="120" w:lineRule="exact"/>
        <w:rPr>
          <w:sz w:val="10"/>
          <w:lang w:val="en-US"/>
        </w:rPr>
      </w:pPr>
    </w:p>
    <w:p w:rsidR="00306E0D" w:rsidRDefault="00306E0D" w:rsidP="00104F51">
      <w:pPr>
        <w:pStyle w:val="SingleTxt"/>
        <w:keepNext/>
        <w:keepLines/>
      </w:pPr>
      <w:r>
        <w:t>23.</w:t>
      </w:r>
      <w:r>
        <w:tab/>
        <w:t xml:space="preserve">The proposed provision under communications for 2016/17 amounts to $3,690,800, representing a decrease of $1,242,800, or 25.2 per cent, compared with the appropriation for 2015/16. The Advisory Committee notes that, compared with the proposed reductions in resources for other categories of expenditures for 2016/17, the proposed requirements reflect a much lower reduction in proportional terms for both communications and information technology (see also paras. 25 and 26 below). The Committee enquired as to why the requirements for communications and information technology were not as much affected by the drawdown of Operation personnel and was informed that those requirements were not highly correlated, since licensing and information and communications technology services were contracted and paid on annual basis. Furthermore, the information and communications technology infrastructure could only be decommissioned and services terminated once all personnel in a given site had been withdrawn. Information and communications services would be required in the regional offices until the end of February 2017, and in Abidjan until the end of June 2017. </w:t>
      </w:r>
    </w:p>
    <w:p w:rsidR="00306E0D" w:rsidRDefault="00306E0D" w:rsidP="00306E0D">
      <w:pPr>
        <w:pStyle w:val="SingleTxt"/>
        <w:rPr>
          <w:b/>
          <w:bCs/>
        </w:rPr>
      </w:pPr>
      <w:r>
        <w:t>24.</w:t>
      </w:r>
      <w:r>
        <w:tab/>
        <w:t xml:space="preserve">The Advisory Committee notes from the supplementary information that, compared with the expenditures of $1,556,600 for commercial communications and $67,900 for spare parts for 2015/16, the requested resources for the two expenditure lines increase to $2,130,200 and $224,000, respectively, for 2016/17. </w:t>
      </w:r>
      <w:r w:rsidRPr="00DD03ED">
        <w:rPr>
          <w:b/>
          <w:bCs/>
        </w:rPr>
        <w:t xml:space="preserve">Taking into account the phased withdrawal of Operation personnel, the Advisory Committee is not convinced by the explanations provided concerning the proposed increase in the resource requirements relating to the two sub-items (commercial communications and spare parts) under communications for the 2016/17 period. The Committee therefore recommends a total reduction of $729,700 to the proposed resource requirements for commercial communications ($573,600) and spare parts ($156,100). </w:t>
      </w:r>
    </w:p>
    <w:p w:rsidR="00DD03ED" w:rsidRPr="00DD03ED" w:rsidRDefault="00DD03ED" w:rsidP="00DD03ED">
      <w:pPr>
        <w:pStyle w:val="SingleTxt"/>
        <w:spacing w:after="0" w:line="120" w:lineRule="exact"/>
        <w:rPr>
          <w:b/>
          <w:bCs/>
          <w:sz w:val="10"/>
        </w:rPr>
      </w:pPr>
    </w:p>
    <w:p w:rsidR="00306E0D" w:rsidRDefault="00DD03ED" w:rsidP="00DD03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 xml:space="preserve">Information technology </w:t>
      </w:r>
    </w:p>
    <w:p w:rsidR="00DD03ED" w:rsidRPr="00DD03ED" w:rsidRDefault="00DD03ED" w:rsidP="00DD03ED">
      <w:pPr>
        <w:pStyle w:val="SingleTxt"/>
        <w:spacing w:after="0" w:line="120" w:lineRule="exact"/>
        <w:rPr>
          <w:sz w:val="10"/>
        </w:rPr>
      </w:pPr>
    </w:p>
    <w:p w:rsidR="00306E0D" w:rsidRDefault="00306E0D" w:rsidP="00306E0D">
      <w:pPr>
        <w:pStyle w:val="SingleTxt"/>
      </w:pPr>
      <w:r>
        <w:t>25.</w:t>
      </w:r>
      <w:r>
        <w:tab/>
        <w:t xml:space="preserve">A provision of $4,126,300 is proposed for information technology, representing a decrease of $822,200, or 16.6 per cent, compared with the appropriation for 2015/16. The Advisory Committee sought explanations for the disproportionately lower reduction compared with the proposed reductions under military and civilian personnel and was provided with the information set out in paragraph 23 above. </w:t>
      </w:r>
    </w:p>
    <w:p w:rsidR="00306E0D" w:rsidRDefault="00306E0D" w:rsidP="00401B15">
      <w:pPr>
        <w:pStyle w:val="SingleTxt"/>
        <w:spacing w:after="0" w:line="230" w:lineRule="exact"/>
        <w:rPr>
          <w:b/>
          <w:bCs/>
        </w:rPr>
      </w:pPr>
      <w:r>
        <w:t>26.</w:t>
      </w:r>
      <w:r>
        <w:tab/>
        <w:t xml:space="preserve">The Advisory Committee notes from the supplementary information that, compared with the expenditure of $608,100 for 2015/16 for the acquisition of software packages, licenses, fees and the rental of software, an amount of $762,000 is proposed for 2016/17, representing an increase of $153,900. In addition, while an expenditure of $2,633,100 was incurred for 2015/16 for information technology services, resources in the amount of $2,786,500 are proposed for 2016/17, representing an increase of $153,400. </w:t>
      </w:r>
      <w:r w:rsidRPr="00DD03ED">
        <w:rPr>
          <w:b/>
          <w:bCs/>
        </w:rPr>
        <w:t>Taking into account the phased withdrawal of Operation personnel, the Advisory Committee is of the view that the related resources for 2016/17 should be maintained at the levels of the actual expenditures for 2015/16. The Committee therefore recommends a total reduction of $307,300 to the proposed resource requirements for the acquisition of software packages, licen</w:t>
      </w:r>
      <w:r w:rsidR="00DD03ED">
        <w:rPr>
          <w:b/>
          <w:bCs/>
        </w:rPr>
        <w:t>c</w:t>
      </w:r>
      <w:r w:rsidRPr="00DD03ED">
        <w:rPr>
          <w:b/>
          <w:bCs/>
        </w:rPr>
        <w:t>es, fees and the rental of software ($153,900) and for information technology services ($153,400).</w:t>
      </w:r>
    </w:p>
    <w:p w:rsidR="00DD03ED" w:rsidRPr="00DD03ED" w:rsidRDefault="00DD03ED" w:rsidP="00FE423F">
      <w:pPr>
        <w:pStyle w:val="SingleTxt"/>
        <w:spacing w:after="0" w:line="230" w:lineRule="exact"/>
        <w:rPr>
          <w:b/>
          <w:bCs/>
          <w:sz w:val="10"/>
        </w:rPr>
      </w:pPr>
    </w:p>
    <w:p w:rsidR="00104F51" w:rsidRDefault="00DD03ED" w:rsidP="00FE42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pPr>
      <w:r>
        <w:tab/>
      </w:r>
      <w:r>
        <w:tab/>
      </w:r>
      <w:r w:rsidR="00306E0D">
        <w:t>Support to the scale-up activities and programming of the United Nations country team</w:t>
      </w:r>
    </w:p>
    <w:p w:rsidR="00104F51" w:rsidRPr="00104F51" w:rsidRDefault="00104F51" w:rsidP="00104F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06E0D" w:rsidRDefault="00306E0D" w:rsidP="00FE423F">
      <w:pPr>
        <w:pStyle w:val="SingleTxt"/>
        <w:spacing w:line="230" w:lineRule="exact"/>
      </w:pPr>
      <w:r>
        <w:t>27.</w:t>
      </w:r>
      <w:r>
        <w:tab/>
        <w:t xml:space="preserve">The Secretary-General proposes the inclusion of a provision of $4.95 million under other supplies, services and equipment with respect to the scale-up activities and programming of the United Nations country team, as requested by the Security Council in paragraph 20 of its resolution </w:t>
      </w:r>
      <w:hyperlink r:id="rId39" w:history="1">
        <w:r w:rsidRPr="00306E0D">
          <w:rPr>
            <w:rStyle w:val="Hyperlink"/>
          </w:rPr>
          <w:t>2284 (2016)</w:t>
        </w:r>
      </w:hyperlink>
      <w:r>
        <w:t>. He indicates that additional opportunities will be explored for the use of the capacities of the United Nations agencies, funds and programmes to support mandate implementation by using assessed funds in such areas as social cohesion, including in cross-border areas and with regard to national reconciliation; security sector reform support; community disarmament; sexual and gender-based violence; women</w:t>
      </w:r>
      <w:r w:rsidR="00C46DBF">
        <w:t>’</w:t>
      </w:r>
      <w:r>
        <w:t xml:space="preserve">s human rights; and violence against children (see </w:t>
      </w:r>
      <w:hyperlink r:id="rId40" w:history="1">
        <w:r w:rsidRPr="00306E0D">
          <w:rPr>
            <w:rStyle w:val="Hyperlink"/>
          </w:rPr>
          <w:t>A/71/599</w:t>
        </w:r>
      </w:hyperlink>
      <w:r>
        <w:t xml:space="preserve">, paras. 19, 54, 134 and 135). </w:t>
      </w:r>
    </w:p>
    <w:p w:rsidR="00306E0D" w:rsidRDefault="00306E0D" w:rsidP="00FE423F">
      <w:pPr>
        <w:pStyle w:val="SingleTxt"/>
        <w:spacing w:line="230" w:lineRule="exact"/>
      </w:pPr>
      <w:r>
        <w:t>28.</w:t>
      </w:r>
      <w:r>
        <w:tab/>
        <w:t>The Advisory Committee was informed upon enquiry that the United Nations country team would need resources to implement the programmes derived from the six thematic areas identified in the UNOCI handover plan (see para. 7 above). The Committee requested a breakdown of the proposed requirements for the projects to be carried out by the United Nations country team, as set out in the table below.</w:t>
      </w:r>
    </w:p>
    <w:p w:rsidR="00DD03ED" w:rsidRPr="00DD03ED" w:rsidRDefault="00DD03ED" w:rsidP="00DD03ED">
      <w:pPr>
        <w:pStyle w:val="SingleTxt"/>
        <w:spacing w:after="0" w:line="120" w:lineRule="exact"/>
        <w:rPr>
          <w:sz w:val="10"/>
        </w:rPr>
      </w:pPr>
    </w:p>
    <w:p w:rsidR="00306E0D" w:rsidRDefault="00DD03ED" w:rsidP="00DD03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 xml:space="preserve">Breakdown of the proposed requirements </w:t>
      </w:r>
    </w:p>
    <w:p w:rsidR="00DD03ED" w:rsidRPr="00DD03ED" w:rsidRDefault="00DD03ED" w:rsidP="00DD03ED">
      <w:pPr>
        <w:pStyle w:val="SingleTxt"/>
        <w:spacing w:after="0" w:line="120" w:lineRule="exact"/>
        <w:rPr>
          <w:sz w:val="10"/>
          <w:lang w:val="en-US"/>
        </w:rPr>
      </w:pPr>
    </w:p>
    <w:tbl>
      <w:tblPr>
        <w:tblW w:w="8582" w:type="dxa"/>
        <w:tblInd w:w="1260" w:type="dxa"/>
        <w:tblLayout w:type="fixed"/>
        <w:tblCellMar>
          <w:left w:w="0" w:type="dxa"/>
          <w:right w:w="0" w:type="dxa"/>
        </w:tblCellMar>
        <w:tblLook w:val="0000" w:firstRow="0" w:lastRow="0" w:firstColumn="0" w:lastColumn="0" w:noHBand="0" w:noVBand="0"/>
      </w:tblPr>
      <w:tblGrid>
        <w:gridCol w:w="2475"/>
        <w:gridCol w:w="2475"/>
        <w:gridCol w:w="1800"/>
        <w:gridCol w:w="1832"/>
      </w:tblGrid>
      <w:tr w:rsidR="008A40B9" w:rsidRPr="00C67B81" w:rsidTr="008A40B9">
        <w:trPr>
          <w:tblHeader/>
        </w:trPr>
        <w:tc>
          <w:tcPr>
            <w:tcW w:w="2475" w:type="dxa"/>
            <w:tcBorders>
              <w:top w:val="single" w:sz="4" w:space="0" w:color="auto"/>
              <w:bottom w:val="single" w:sz="12" w:space="0" w:color="auto"/>
            </w:tcBorders>
            <w:shd w:val="clear" w:color="auto" w:fill="auto"/>
            <w:vAlign w:val="bottom"/>
          </w:tcPr>
          <w:p w:rsidR="00DD03ED" w:rsidRPr="00C67B81" w:rsidRDefault="00DD03ED" w:rsidP="00C67B81">
            <w:pPr>
              <w:spacing w:before="81" w:after="81" w:line="160" w:lineRule="exact"/>
              <w:ind w:right="40"/>
              <w:rPr>
                <w:i/>
                <w:sz w:val="14"/>
              </w:rPr>
            </w:pPr>
            <w:r w:rsidRPr="00C67B81">
              <w:rPr>
                <w:i/>
                <w:sz w:val="14"/>
              </w:rPr>
              <w:t>Operation mandate area</w:t>
            </w:r>
          </w:p>
        </w:tc>
        <w:tc>
          <w:tcPr>
            <w:tcW w:w="2475" w:type="dxa"/>
            <w:tcBorders>
              <w:top w:val="single" w:sz="4" w:space="0" w:color="auto"/>
              <w:bottom w:val="single" w:sz="12" w:space="0" w:color="auto"/>
            </w:tcBorders>
            <w:shd w:val="clear" w:color="auto" w:fill="auto"/>
            <w:vAlign w:val="bottom"/>
          </w:tcPr>
          <w:p w:rsidR="00DD03ED" w:rsidRPr="00C67B81" w:rsidRDefault="00DD03ED" w:rsidP="00C67B81">
            <w:pPr>
              <w:spacing w:before="81" w:after="81" w:line="160" w:lineRule="exact"/>
              <w:ind w:left="144" w:right="40"/>
              <w:rPr>
                <w:i/>
                <w:sz w:val="14"/>
              </w:rPr>
            </w:pPr>
            <w:r w:rsidRPr="00C67B81">
              <w:rPr>
                <w:i/>
                <w:sz w:val="14"/>
              </w:rPr>
              <w:t>Thematic areas of United Nations country team projects</w:t>
            </w:r>
          </w:p>
        </w:tc>
        <w:tc>
          <w:tcPr>
            <w:tcW w:w="1800" w:type="dxa"/>
            <w:tcBorders>
              <w:top w:val="single" w:sz="4" w:space="0" w:color="auto"/>
              <w:bottom w:val="single" w:sz="12" w:space="0" w:color="auto"/>
            </w:tcBorders>
            <w:shd w:val="clear" w:color="auto" w:fill="auto"/>
            <w:vAlign w:val="bottom"/>
          </w:tcPr>
          <w:p w:rsidR="00DD03ED" w:rsidRPr="00C67B81" w:rsidRDefault="00DD03ED" w:rsidP="00C67B81">
            <w:pPr>
              <w:spacing w:before="81" w:after="81" w:line="160" w:lineRule="exact"/>
              <w:ind w:left="144" w:right="40"/>
              <w:rPr>
                <w:i/>
                <w:sz w:val="14"/>
              </w:rPr>
            </w:pPr>
            <w:r w:rsidRPr="00C67B81">
              <w:rPr>
                <w:i/>
                <w:sz w:val="14"/>
              </w:rPr>
              <w:t>United Nations country team implementing entity</w:t>
            </w:r>
          </w:p>
        </w:tc>
        <w:tc>
          <w:tcPr>
            <w:tcW w:w="1832" w:type="dxa"/>
            <w:tcBorders>
              <w:top w:val="single" w:sz="4" w:space="0" w:color="auto"/>
              <w:bottom w:val="single" w:sz="12" w:space="0" w:color="auto"/>
            </w:tcBorders>
            <w:shd w:val="clear" w:color="auto" w:fill="auto"/>
            <w:vAlign w:val="bottom"/>
          </w:tcPr>
          <w:p w:rsidR="00DD03ED" w:rsidRPr="00C67B81" w:rsidRDefault="00DD03ED" w:rsidP="00C67B81">
            <w:pPr>
              <w:spacing w:before="81" w:after="81" w:line="160" w:lineRule="exact"/>
              <w:ind w:left="144" w:right="40"/>
              <w:jc w:val="right"/>
              <w:rPr>
                <w:i/>
                <w:sz w:val="14"/>
              </w:rPr>
            </w:pPr>
            <w:r w:rsidRPr="00C67B81">
              <w:rPr>
                <w:i/>
                <w:sz w:val="14"/>
              </w:rPr>
              <w:t>Proposed requirements</w:t>
            </w:r>
            <w:r w:rsidR="00A50209">
              <w:rPr>
                <w:i/>
                <w:sz w:val="14"/>
              </w:rPr>
              <w:t xml:space="preserve"> </w:t>
            </w:r>
            <w:r w:rsidR="00A50209" w:rsidRPr="00C67B81">
              <w:rPr>
                <w:i/>
                <w:sz w:val="14"/>
              </w:rPr>
              <w:br/>
            </w:r>
            <w:r w:rsidRPr="00C67B81">
              <w:rPr>
                <w:i/>
                <w:sz w:val="14"/>
              </w:rPr>
              <w:t>(United States dollars)</w:t>
            </w:r>
          </w:p>
        </w:tc>
      </w:tr>
      <w:tr w:rsidR="00C67B81" w:rsidRPr="00C67B81" w:rsidTr="008A40B9">
        <w:trPr>
          <w:trHeight w:hRule="exact" w:val="115"/>
          <w:tblHeader/>
        </w:trPr>
        <w:tc>
          <w:tcPr>
            <w:tcW w:w="2475" w:type="dxa"/>
            <w:tcBorders>
              <w:top w:val="single" w:sz="12" w:space="0" w:color="auto"/>
            </w:tcBorders>
            <w:shd w:val="clear" w:color="auto" w:fill="auto"/>
            <w:vAlign w:val="bottom"/>
          </w:tcPr>
          <w:p w:rsidR="00C67B81" w:rsidRPr="00C67B81" w:rsidRDefault="00C67B81" w:rsidP="00C67B81">
            <w:pPr>
              <w:tabs>
                <w:tab w:val="left" w:pos="288"/>
                <w:tab w:val="left" w:pos="576"/>
                <w:tab w:val="left" w:pos="864"/>
                <w:tab w:val="left" w:pos="1152"/>
              </w:tabs>
              <w:spacing w:before="40" w:after="40" w:line="210" w:lineRule="exact"/>
              <w:ind w:right="40"/>
              <w:rPr>
                <w:sz w:val="17"/>
                <w:lang w:val="en-US"/>
              </w:rPr>
            </w:pPr>
          </w:p>
        </w:tc>
        <w:tc>
          <w:tcPr>
            <w:tcW w:w="2475" w:type="dxa"/>
            <w:tcBorders>
              <w:top w:val="single" w:sz="12" w:space="0" w:color="auto"/>
            </w:tcBorders>
            <w:shd w:val="clear" w:color="auto" w:fill="auto"/>
            <w:vAlign w:val="bottom"/>
          </w:tcPr>
          <w:p w:rsidR="00C67B81" w:rsidRPr="00C67B81" w:rsidRDefault="00C67B81" w:rsidP="00C67B81">
            <w:pPr>
              <w:spacing w:before="40" w:after="40" w:line="210" w:lineRule="exact"/>
              <w:ind w:left="144" w:right="40"/>
              <w:rPr>
                <w:sz w:val="17"/>
                <w:szCs w:val="18"/>
              </w:rPr>
            </w:pPr>
          </w:p>
        </w:tc>
        <w:tc>
          <w:tcPr>
            <w:tcW w:w="1800" w:type="dxa"/>
            <w:tcBorders>
              <w:top w:val="single" w:sz="12" w:space="0" w:color="auto"/>
            </w:tcBorders>
            <w:shd w:val="clear" w:color="auto" w:fill="auto"/>
            <w:vAlign w:val="bottom"/>
          </w:tcPr>
          <w:p w:rsidR="00C67B81" w:rsidRPr="00C67B81" w:rsidRDefault="00C67B81" w:rsidP="00C67B81">
            <w:pPr>
              <w:spacing w:before="40" w:after="40" w:line="210" w:lineRule="exact"/>
              <w:ind w:left="144" w:right="40"/>
              <w:rPr>
                <w:sz w:val="17"/>
                <w:szCs w:val="18"/>
              </w:rPr>
            </w:pPr>
          </w:p>
        </w:tc>
        <w:tc>
          <w:tcPr>
            <w:tcW w:w="1832" w:type="dxa"/>
            <w:tcBorders>
              <w:top w:val="single" w:sz="12" w:space="0" w:color="auto"/>
            </w:tcBorders>
            <w:shd w:val="clear" w:color="auto" w:fill="auto"/>
            <w:vAlign w:val="bottom"/>
          </w:tcPr>
          <w:p w:rsidR="00C67B81" w:rsidRPr="00C67B81" w:rsidRDefault="00C67B81" w:rsidP="00C67B81">
            <w:pPr>
              <w:spacing w:before="40" w:after="40" w:line="210" w:lineRule="exact"/>
              <w:ind w:left="144" w:right="40"/>
              <w:jc w:val="right"/>
              <w:rPr>
                <w:sz w:val="17"/>
                <w:szCs w:val="18"/>
              </w:rPr>
            </w:pPr>
          </w:p>
        </w:tc>
      </w:tr>
      <w:tr w:rsidR="008A40B9" w:rsidRPr="00C67B81" w:rsidTr="008A40B9">
        <w:tc>
          <w:tcPr>
            <w:tcW w:w="2475" w:type="dxa"/>
            <w:vMerge w:val="restart"/>
            <w:shd w:val="clear" w:color="auto" w:fill="auto"/>
          </w:tcPr>
          <w:p w:rsidR="008A40B9" w:rsidRPr="00C67B81" w:rsidRDefault="008A40B9" w:rsidP="00401B15">
            <w:pPr>
              <w:tabs>
                <w:tab w:val="left" w:pos="288"/>
                <w:tab w:val="left" w:pos="576"/>
                <w:tab w:val="left" w:pos="864"/>
                <w:tab w:val="left" w:pos="1152"/>
              </w:tabs>
              <w:spacing w:before="40" w:after="40" w:line="240" w:lineRule="auto"/>
              <w:ind w:right="40"/>
              <w:rPr>
                <w:sz w:val="17"/>
                <w:lang w:val="en-US"/>
              </w:rPr>
            </w:pPr>
            <w:r w:rsidRPr="00C67B81">
              <w:rPr>
                <w:sz w:val="17"/>
                <w:szCs w:val="18"/>
              </w:rPr>
              <w:t>Social cohesion and national reconciliation</w:t>
            </w:r>
          </w:p>
        </w:tc>
        <w:tc>
          <w:tcPr>
            <w:tcW w:w="2475"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Cross-border social cohesion</w:t>
            </w:r>
          </w:p>
        </w:tc>
        <w:tc>
          <w:tcPr>
            <w:tcW w:w="1800"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Joint UNDP and IOM</w:t>
            </w:r>
          </w:p>
        </w:tc>
        <w:tc>
          <w:tcPr>
            <w:tcW w:w="1832" w:type="dxa"/>
            <w:shd w:val="clear" w:color="auto" w:fill="auto"/>
            <w:vAlign w:val="bottom"/>
          </w:tcPr>
          <w:p w:rsidR="008A40B9" w:rsidRPr="00C67B81" w:rsidRDefault="008A40B9" w:rsidP="00401B15">
            <w:pPr>
              <w:tabs>
                <w:tab w:val="left" w:pos="288"/>
                <w:tab w:val="left" w:pos="576"/>
                <w:tab w:val="left" w:pos="864"/>
                <w:tab w:val="left" w:pos="1152"/>
              </w:tabs>
              <w:spacing w:before="40" w:after="40" w:line="240" w:lineRule="auto"/>
              <w:ind w:left="144" w:right="40"/>
              <w:jc w:val="right"/>
              <w:rPr>
                <w:sz w:val="17"/>
                <w:szCs w:val="18"/>
              </w:rPr>
            </w:pPr>
            <w:r w:rsidRPr="00C67B81">
              <w:rPr>
                <w:sz w:val="17"/>
                <w:szCs w:val="18"/>
              </w:rPr>
              <w:t>UNDP:</w:t>
            </w:r>
            <w:r w:rsidR="00A50209">
              <w:rPr>
                <w:sz w:val="17"/>
                <w:szCs w:val="18"/>
              </w:rPr>
              <w:t xml:space="preserve"> </w:t>
            </w:r>
            <w:r w:rsidR="00A50209" w:rsidRPr="00C67B81">
              <w:rPr>
                <w:sz w:val="17"/>
                <w:szCs w:val="18"/>
              </w:rPr>
              <w:t>9</w:t>
            </w:r>
            <w:r w:rsidRPr="00C67B81">
              <w:rPr>
                <w:sz w:val="17"/>
                <w:szCs w:val="18"/>
              </w:rPr>
              <w:t>43 600</w:t>
            </w:r>
          </w:p>
        </w:tc>
      </w:tr>
      <w:tr w:rsidR="008A40B9" w:rsidRPr="00C67B81" w:rsidTr="008A40B9">
        <w:tc>
          <w:tcPr>
            <w:tcW w:w="2475" w:type="dxa"/>
            <w:vMerge/>
            <w:shd w:val="clear" w:color="auto" w:fill="auto"/>
            <w:vAlign w:val="bottom"/>
          </w:tcPr>
          <w:p w:rsidR="008A40B9" w:rsidRPr="00C67B81" w:rsidRDefault="008A40B9" w:rsidP="00401B15">
            <w:pPr>
              <w:tabs>
                <w:tab w:val="left" w:pos="288"/>
                <w:tab w:val="left" w:pos="576"/>
                <w:tab w:val="left" w:pos="864"/>
                <w:tab w:val="left" w:pos="1152"/>
              </w:tabs>
              <w:spacing w:before="40" w:after="40" w:line="240" w:lineRule="auto"/>
              <w:ind w:right="40"/>
              <w:rPr>
                <w:sz w:val="17"/>
                <w:lang w:val="en-US"/>
              </w:rPr>
            </w:pPr>
          </w:p>
        </w:tc>
        <w:tc>
          <w:tcPr>
            <w:tcW w:w="2475"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rPr>
                <w:sz w:val="17"/>
                <w:szCs w:val="18"/>
              </w:rPr>
            </w:pPr>
            <w:r w:rsidRPr="00C67B81">
              <w:rPr>
                <w:sz w:val="17"/>
                <w:szCs w:val="18"/>
              </w:rPr>
              <w:t>Social cohesion and national reconciliation</w:t>
            </w:r>
          </w:p>
        </w:tc>
        <w:tc>
          <w:tcPr>
            <w:tcW w:w="1800"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 xml:space="preserve">Joint UNDP and </w:t>
            </w:r>
            <w:r>
              <w:rPr>
                <w:sz w:val="17"/>
                <w:szCs w:val="18"/>
              </w:rPr>
              <w:br/>
            </w:r>
            <w:r w:rsidRPr="00C67B81">
              <w:rPr>
                <w:sz w:val="17"/>
                <w:szCs w:val="18"/>
              </w:rPr>
              <w:t>UN-Women</w:t>
            </w:r>
          </w:p>
        </w:tc>
        <w:tc>
          <w:tcPr>
            <w:tcW w:w="1832" w:type="dxa"/>
            <w:shd w:val="clear" w:color="auto" w:fill="auto"/>
            <w:vAlign w:val="bottom"/>
          </w:tcPr>
          <w:p w:rsidR="00E27A16" w:rsidRPr="00C67B81" w:rsidRDefault="008A40B9" w:rsidP="00401B15">
            <w:pPr>
              <w:tabs>
                <w:tab w:val="left" w:pos="288"/>
                <w:tab w:val="left" w:pos="576"/>
                <w:tab w:val="left" w:pos="864"/>
                <w:tab w:val="left" w:pos="1152"/>
              </w:tabs>
              <w:spacing w:before="40" w:after="40" w:line="240" w:lineRule="auto"/>
              <w:ind w:left="144" w:right="43"/>
              <w:jc w:val="right"/>
              <w:rPr>
                <w:sz w:val="17"/>
                <w:szCs w:val="18"/>
              </w:rPr>
            </w:pPr>
            <w:r w:rsidRPr="00C67B81">
              <w:rPr>
                <w:sz w:val="17"/>
                <w:szCs w:val="18"/>
              </w:rPr>
              <w:t>UNDP: 700 000</w:t>
            </w:r>
            <w:r w:rsidR="00E27A16">
              <w:rPr>
                <w:sz w:val="17"/>
                <w:szCs w:val="18"/>
              </w:rPr>
              <w:br/>
            </w:r>
            <w:r w:rsidR="00E27A16" w:rsidRPr="00C67B81">
              <w:rPr>
                <w:sz w:val="17"/>
                <w:szCs w:val="18"/>
              </w:rPr>
              <w:t>UN-Women: 586 332</w:t>
            </w:r>
          </w:p>
        </w:tc>
      </w:tr>
      <w:tr w:rsidR="00C67B81" w:rsidRPr="00C67B81" w:rsidTr="008A40B9">
        <w:tc>
          <w:tcPr>
            <w:tcW w:w="2475"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right="40"/>
              <w:rPr>
                <w:sz w:val="17"/>
                <w:szCs w:val="18"/>
              </w:rPr>
            </w:pPr>
            <w:r w:rsidRPr="00C67B81">
              <w:rPr>
                <w:sz w:val="17"/>
                <w:szCs w:val="18"/>
              </w:rPr>
              <w:t>Support ComNat-APLC in the securing and disposal of weapons, clearing explosive remnants of war and ensuring that collected weapons are not disseminated or re-utilized</w:t>
            </w:r>
          </w:p>
        </w:tc>
        <w:tc>
          <w:tcPr>
            <w:tcW w:w="2475"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Community disarmament</w:t>
            </w:r>
          </w:p>
        </w:tc>
        <w:tc>
          <w:tcPr>
            <w:tcW w:w="1800"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UNDP</w:t>
            </w:r>
          </w:p>
        </w:tc>
        <w:tc>
          <w:tcPr>
            <w:tcW w:w="1832"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left="144" w:right="40"/>
              <w:jc w:val="right"/>
              <w:rPr>
                <w:sz w:val="17"/>
                <w:szCs w:val="18"/>
              </w:rPr>
            </w:pPr>
            <w:r w:rsidRPr="00C67B81">
              <w:rPr>
                <w:sz w:val="17"/>
                <w:szCs w:val="18"/>
              </w:rPr>
              <w:t>1 425 600</w:t>
            </w:r>
          </w:p>
        </w:tc>
      </w:tr>
      <w:tr w:rsidR="00C67B81" w:rsidRPr="00C67B81" w:rsidTr="008A40B9">
        <w:tc>
          <w:tcPr>
            <w:tcW w:w="2475"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right="40"/>
              <w:rPr>
                <w:sz w:val="17"/>
                <w:szCs w:val="18"/>
              </w:rPr>
            </w:pPr>
            <w:r w:rsidRPr="00C67B81">
              <w:rPr>
                <w:sz w:val="17"/>
                <w:szCs w:val="18"/>
              </w:rPr>
              <w:t xml:space="preserve">Security sector reform </w:t>
            </w:r>
          </w:p>
        </w:tc>
        <w:tc>
          <w:tcPr>
            <w:tcW w:w="2475"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Support for security sector reform</w:t>
            </w:r>
          </w:p>
        </w:tc>
        <w:tc>
          <w:tcPr>
            <w:tcW w:w="1800"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left="144" w:right="40"/>
              <w:rPr>
                <w:sz w:val="17"/>
                <w:szCs w:val="18"/>
              </w:rPr>
            </w:pPr>
            <w:r w:rsidRPr="00C67B81">
              <w:rPr>
                <w:sz w:val="17"/>
                <w:szCs w:val="18"/>
              </w:rPr>
              <w:t>UNDP</w:t>
            </w:r>
          </w:p>
        </w:tc>
        <w:tc>
          <w:tcPr>
            <w:tcW w:w="1832" w:type="dxa"/>
            <w:shd w:val="clear" w:color="auto" w:fill="auto"/>
          </w:tcPr>
          <w:p w:rsidR="00C67B81" w:rsidRPr="00C67B81" w:rsidRDefault="00C67B81" w:rsidP="00401B15">
            <w:pPr>
              <w:tabs>
                <w:tab w:val="left" w:pos="288"/>
                <w:tab w:val="left" w:pos="576"/>
                <w:tab w:val="left" w:pos="864"/>
                <w:tab w:val="left" w:pos="1152"/>
              </w:tabs>
              <w:spacing w:before="40" w:after="40" w:line="240" w:lineRule="auto"/>
              <w:ind w:left="144" w:right="40"/>
              <w:jc w:val="right"/>
              <w:rPr>
                <w:sz w:val="17"/>
                <w:szCs w:val="18"/>
              </w:rPr>
            </w:pPr>
            <w:r w:rsidRPr="00C67B81">
              <w:rPr>
                <w:sz w:val="17"/>
                <w:szCs w:val="18"/>
              </w:rPr>
              <w:t>594 000</w:t>
            </w:r>
          </w:p>
        </w:tc>
      </w:tr>
      <w:tr w:rsidR="008A40B9" w:rsidRPr="00C67B81" w:rsidTr="008A40B9">
        <w:tc>
          <w:tcPr>
            <w:tcW w:w="2475" w:type="dxa"/>
            <w:vMerge w:val="restart"/>
            <w:shd w:val="clear" w:color="auto" w:fill="auto"/>
          </w:tcPr>
          <w:p w:rsidR="008A40B9" w:rsidRPr="00C67B81" w:rsidRDefault="008A40B9" w:rsidP="00401B15">
            <w:pPr>
              <w:tabs>
                <w:tab w:val="left" w:pos="288"/>
                <w:tab w:val="left" w:pos="576"/>
                <w:tab w:val="left" w:pos="864"/>
                <w:tab w:val="left" w:pos="1152"/>
              </w:tabs>
              <w:spacing w:before="40" w:after="40" w:line="240" w:lineRule="auto"/>
              <w:ind w:right="43"/>
              <w:rPr>
                <w:sz w:val="17"/>
                <w:lang w:val="en-US"/>
              </w:rPr>
            </w:pPr>
            <w:r w:rsidRPr="00C67B81">
              <w:rPr>
                <w:sz w:val="17"/>
                <w:szCs w:val="18"/>
              </w:rPr>
              <w:t>Promote and protect human rights, with special attention to grave violations and abuses committed against children and women</w:t>
            </w:r>
          </w:p>
        </w:tc>
        <w:tc>
          <w:tcPr>
            <w:tcW w:w="2475"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rPr>
                <w:sz w:val="17"/>
                <w:szCs w:val="18"/>
              </w:rPr>
            </w:pPr>
            <w:r w:rsidRPr="00C67B81">
              <w:rPr>
                <w:sz w:val="17"/>
                <w:szCs w:val="18"/>
              </w:rPr>
              <w:t>Prevention of sexual and gender-based violence and data management</w:t>
            </w:r>
          </w:p>
        </w:tc>
        <w:tc>
          <w:tcPr>
            <w:tcW w:w="1800"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rPr>
                <w:sz w:val="17"/>
                <w:szCs w:val="18"/>
              </w:rPr>
            </w:pPr>
            <w:r w:rsidRPr="00C67B81">
              <w:rPr>
                <w:sz w:val="17"/>
                <w:szCs w:val="18"/>
              </w:rPr>
              <w:t>UNFPA</w:t>
            </w:r>
          </w:p>
        </w:tc>
        <w:tc>
          <w:tcPr>
            <w:tcW w:w="1832"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jc w:val="right"/>
              <w:rPr>
                <w:sz w:val="17"/>
                <w:szCs w:val="18"/>
              </w:rPr>
            </w:pPr>
            <w:r w:rsidRPr="00C67B81">
              <w:rPr>
                <w:sz w:val="17"/>
                <w:szCs w:val="18"/>
              </w:rPr>
              <w:t>500 000</w:t>
            </w:r>
          </w:p>
        </w:tc>
      </w:tr>
      <w:tr w:rsidR="008A40B9" w:rsidRPr="00C67B81" w:rsidTr="008A40B9">
        <w:tc>
          <w:tcPr>
            <w:tcW w:w="2475" w:type="dxa"/>
            <w:vMerge/>
            <w:shd w:val="clear" w:color="auto" w:fill="auto"/>
          </w:tcPr>
          <w:p w:rsidR="008A40B9" w:rsidRPr="00C67B81" w:rsidRDefault="008A40B9" w:rsidP="00401B15">
            <w:pPr>
              <w:tabs>
                <w:tab w:val="left" w:pos="288"/>
                <w:tab w:val="left" w:pos="576"/>
                <w:tab w:val="left" w:pos="864"/>
                <w:tab w:val="left" w:pos="1152"/>
              </w:tabs>
              <w:spacing w:before="40" w:after="40" w:line="240" w:lineRule="auto"/>
              <w:ind w:right="43"/>
              <w:rPr>
                <w:sz w:val="17"/>
                <w:lang w:val="en-US"/>
              </w:rPr>
            </w:pPr>
          </w:p>
        </w:tc>
        <w:tc>
          <w:tcPr>
            <w:tcW w:w="2475"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rPr>
                <w:sz w:val="17"/>
                <w:szCs w:val="18"/>
              </w:rPr>
            </w:pPr>
            <w:r w:rsidRPr="00C67B81">
              <w:rPr>
                <w:sz w:val="17"/>
                <w:szCs w:val="18"/>
              </w:rPr>
              <w:t>Prevention of sexual and gender-based violence and promotion of women</w:t>
            </w:r>
            <w:r w:rsidR="00C46DBF">
              <w:rPr>
                <w:sz w:val="17"/>
                <w:szCs w:val="18"/>
              </w:rPr>
              <w:t>’</w:t>
            </w:r>
            <w:r w:rsidRPr="00C67B81">
              <w:rPr>
                <w:sz w:val="17"/>
                <w:szCs w:val="18"/>
              </w:rPr>
              <w:t>s human rights</w:t>
            </w:r>
          </w:p>
        </w:tc>
        <w:tc>
          <w:tcPr>
            <w:tcW w:w="1800"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rPr>
                <w:sz w:val="17"/>
                <w:szCs w:val="18"/>
              </w:rPr>
            </w:pPr>
            <w:r w:rsidRPr="00C67B81">
              <w:rPr>
                <w:sz w:val="17"/>
                <w:szCs w:val="18"/>
              </w:rPr>
              <w:t>UN-Women</w:t>
            </w:r>
          </w:p>
        </w:tc>
        <w:tc>
          <w:tcPr>
            <w:tcW w:w="1832" w:type="dxa"/>
            <w:shd w:val="clear" w:color="auto" w:fill="auto"/>
          </w:tcPr>
          <w:p w:rsidR="008A40B9" w:rsidRPr="00C67B81" w:rsidRDefault="008A40B9" w:rsidP="00401B15">
            <w:pPr>
              <w:tabs>
                <w:tab w:val="left" w:pos="288"/>
                <w:tab w:val="left" w:pos="576"/>
                <w:tab w:val="left" w:pos="864"/>
                <w:tab w:val="left" w:pos="1152"/>
              </w:tabs>
              <w:spacing w:before="40" w:after="40" w:line="240" w:lineRule="auto"/>
              <w:ind w:left="144" w:right="43"/>
              <w:jc w:val="right"/>
              <w:rPr>
                <w:sz w:val="17"/>
                <w:szCs w:val="18"/>
              </w:rPr>
            </w:pPr>
            <w:r w:rsidRPr="00C67B81">
              <w:rPr>
                <w:sz w:val="17"/>
                <w:szCs w:val="18"/>
              </w:rPr>
              <w:t>101 520</w:t>
            </w:r>
          </w:p>
        </w:tc>
      </w:tr>
      <w:tr w:rsidR="008A40B9" w:rsidRPr="00C67B81" w:rsidTr="008A40B9">
        <w:tc>
          <w:tcPr>
            <w:tcW w:w="2475" w:type="dxa"/>
            <w:tcBorders>
              <w:bottom w:val="single" w:sz="4" w:space="0" w:color="auto"/>
            </w:tcBorders>
            <w:shd w:val="clear" w:color="auto" w:fill="auto"/>
          </w:tcPr>
          <w:p w:rsidR="00C67B81" w:rsidRPr="00C67B81" w:rsidRDefault="00C67B81" w:rsidP="00401B15">
            <w:pPr>
              <w:tabs>
                <w:tab w:val="left" w:pos="288"/>
                <w:tab w:val="left" w:pos="576"/>
                <w:tab w:val="left" w:pos="864"/>
                <w:tab w:val="left" w:pos="1152"/>
              </w:tabs>
              <w:spacing w:before="40" w:after="81" w:line="240" w:lineRule="auto"/>
              <w:ind w:right="43"/>
              <w:rPr>
                <w:sz w:val="17"/>
                <w:lang w:val="en-US"/>
              </w:rPr>
            </w:pPr>
          </w:p>
        </w:tc>
        <w:tc>
          <w:tcPr>
            <w:tcW w:w="2475" w:type="dxa"/>
            <w:tcBorders>
              <w:bottom w:val="single" w:sz="4" w:space="0" w:color="auto"/>
            </w:tcBorders>
            <w:shd w:val="clear" w:color="auto" w:fill="auto"/>
          </w:tcPr>
          <w:p w:rsidR="00C67B81" w:rsidRPr="00C67B81" w:rsidRDefault="00C67B81" w:rsidP="00401B15">
            <w:pPr>
              <w:tabs>
                <w:tab w:val="left" w:pos="288"/>
                <w:tab w:val="left" w:pos="576"/>
                <w:tab w:val="left" w:pos="864"/>
                <w:tab w:val="left" w:pos="1152"/>
              </w:tabs>
              <w:spacing w:before="40" w:after="81" w:line="240" w:lineRule="auto"/>
              <w:ind w:left="144" w:right="43"/>
              <w:rPr>
                <w:sz w:val="17"/>
                <w:szCs w:val="18"/>
              </w:rPr>
            </w:pPr>
            <w:r w:rsidRPr="00C67B81">
              <w:rPr>
                <w:sz w:val="17"/>
                <w:szCs w:val="18"/>
              </w:rPr>
              <w:t>Violence against children</w:t>
            </w:r>
          </w:p>
        </w:tc>
        <w:tc>
          <w:tcPr>
            <w:tcW w:w="1800" w:type="dxa"/>
            <w:tcBorders>
              <w:bottom w:val="single" w:sz="4" w:space="0" w:color="auto"/>
            </w:tcBorders>
            <w:shd w:val="clear" w:color="auto" w:fill="auto"/>
          </w:tcPr>
          <w:p w:rsidR="00C67B81" w:rsidRPr="00C67B81" w:rsidRDefault="00C67B81" w:rsidP="00401B15">
            <w:pPr>
              <w:tabs>
                <w:tab w:val="left" w:pos="288"/>
                <w:tab w:val="left" w:pos="576"/>
                <w:tab w:val="left" w:pos="864"/>
                <w:tab w:val="left" w:pos="1152"/>
              </w:tabs>
              <w:spacing w:before="40" w:after="81" w:line="240" w:lineRule="auto"/>
              <w:ind w:left="144" w:right="43"/>
              <w:rPr>
                <w:sz w:val="17"/>
                <w:szCs w:val="18"/>
              </w:rPr>
            </w:pPr>
            <w:r w:rsidRPr="00C67B81">
              <w:rPr>
                <w:sz w:val="17"/>
                <w:szCs w:val="18"/>
              </w:rPr>
              <w:t>UNICEF</w:t>
            </w:r>
          </w:p>
        </w:tc>
        <w:tc>
          <w:tcPr>
            <w:tcW w:w="1832" w:type="dxa"/>
            <w:tcBorders>
              <w:bottom w:val="single" w:sz="4" w:space="0" w:color="auto"/>
            </w:tcBorders>
            <w:shd w:val="clear" w:color="auto" w:fill="auto"/>
          </w:tcPr>
          <w:p w:rsidR="00C67B81" w:rsidRPr="00C67B81" w:rsidRDefault="00C67B81" w:rsidP="00401B15">
            <w:pPr>
              <w:tabs>
                <w:tab w:val="left" w:pos="288"/>
                <w:tab w:val="left" w:pos="576"/>
                <w:tab w:val="left" w:pos="864"/>
                <w:tab w:val="left" w:pos="1152"/>
              </w:tabs>
              <w:spacing w:before="40" w:after="81" w:line="240" w:lineRule="auto"/>
              <w:ind w:left="144" w:right="43"/>
              <w:jc w:val="right"/>
              <w:rPr>
                <w:sz w:val="17"/>
                <w:szCs w:val="18"/>
              </w:rPr>
            </w:pPr>
            <w:r w:rsidRPr="00C67B81">
              <w:rPr>
                <w:sz w:val="17"/>
                <w:szCs w:val="18"/>
              </w:rPr>
              <w:t>100 000</w:t>
            </w:r>
          </w:p>
        </w:tc>
      </w:tr>
      <w:tr w:rsidR="00C67B81" w:rsidRPr="00C67B81" w:rsidTr="008A40B9">
        <w:tc>
          <w:tcPr>
            <w:tcW w:w="2475" w:type="dxa"/>
            <w:tcBorders>
              <w:top w:val="single" w:sz="4" w:space="0" w:color="auto"/>
              <w:bottom w:val="single" w:sz="12" w:space="0" w:color="auto"/>
            </w:tcBorders>
            <w:shd w:val="clear" w:color="auto" w:fill="auto"/>
            <w:vAlign w:val="bottom"/>
          </w:tcPr>
          <w:p w:rsidR="00C67B81" w:rsidRPr="00C67B81" w:rsidRDefault="00C67B81" w:rsidP="00401B15">
            <w:pPr>
              <w:tabs>
                <w:tab w:val="left" w:pos="288"/>
                <w:tab w:val="left" w:pos="576"/>
                <w:tab w:val="left" w:pos="864"/>
                <w:tab w:val="left" w:pos="1152"/>
              </w:tabs>
              <w:spacing w:before="81" w:after="81" w:line="240" w:lineRule="auto"/>
              <w:ind w:right="43"/>
              <w:rPr>
                <w:b/>
                <w:sz w:val="17"/>
                <w:lang w:val="en-US"/>
              </w:rPr>
            </w:pPr>
            <w:r>
              <w:rPr>
                <w:b/>
                <w:sz w:val="17"/>
                <w:lang w:val="en-US"/>
              </w:rPr>
              <w:tab/>
            </w:r>
            <w:r w:rsidRPr="00C67B81">
              <w:rPr>
                <w:b/>
                <w:sz w:val="17"/>
                <w:lang w:val="en-US"/>
              </w:rPr>
              <w:t>Total</w:t>
            </w:r>
          </w:p>
        </w:tc>
        <w:tc>
          <w:tcPr>
            <w:tcW w:w="2475" w:type="dxa"/>
            <w:tcBorders>
              <w:top w:val="single" w:sz="4" w:space="0" w:color="auto"/>
              <w:bottom w:val="single" w:sz="12" w:space="0" w:color="auto"/>
            </w:tcBorders>
            <w:shd w:val="clear" w:color="auto" w:fill="auto"/>
            <w:vAlign w:val="bottom"/>
          </w:tcPr>
          <w:p w:rsidR="00C67B81" w:rsidRPr="00C67B81" w:rsidRDefault="00C67B81" w:rsidP="00401B15">
            <w:pPr>
              <w:tabs>
                <w:tab w:val="left" w:pos="288"/>
                <w:tab w:val="left" w:pos="576"/>
                <w:tab w:val="left" w:pos="864"/>
                <w:tab w:val="left" w:pos="1152"/>
              </w:tabs>
              <w:spacing w:before="81" w:after="81" w:line="240" w:lineRule="auto"/>
              <w:ind w:left="144" w:right="43"/>
              <w:rPr>
                <w:b/>
                <w:sz w:val="17"/>
                <w:szCs w:val="18"/>
              </w:rPr>
            </w:pPr>
          </w:p>
        </w:tc>
        <w:tc>
          <w:tcPr>
            <w:tcW w:w="1800" w:type="dxa"/>
            <w:tcBorders>
              <w:top w:val="single" w:sz="4" w:space="0" w:color="auto"/>
              <w:bottom w:val="single" w:sz="12" w:space="0" w:color="auto"/>
            </w:tcBorders>
            <w:shd w:val="clear" w:color="auto" w:fill="auto"/>
            <w:vAlign w:val="bottom"/>
          </w:tcPr>
          <w:p w:rsidR="00C67B81" w:rsidRPr="00C67B81" w:rsidRDefault="00C67B81" w:rsidP="00401B15">
            <w:pPr>
              <w:tabs>
                <w:tab w:val="left" w:pos="288"/>
                <w:tab w:val="left" w:pos="576"/>
                <w:tab w:val="left" w:pos="864"/>
                <w:tab w:val="left" w:pos="1152"/>
              </w:tabs>
              <w:spacing w:before="81" w:after="81" w:line="240" w:lineRule="auto"/>
              <w:ind w:left="144" w:right="43"/>
              <w:rPr>
                <w:b/>
                <w:sz w:val="17"/>
                <w:szCs w:val="18"/>
              </w:rPr>
            </w:pPr>
          </w:p>
        </w:tc>
        <w:tc>
          <w:tcPr>
            <w:tcW w:w="1832" w:type="dxa"/>
            <w:tcBorders>
              <w:top w:val="single" w:sz="4" w:space="0" w:color="auto"/>
              <w:bottom w:val="single" w:sz="12" w:space="0" w:color="auto"/>
            </w:tcBorders>
            <w:shd w:val="clear" w:color="auto" w:fill="auto"/>
            <w:vAlign w:val="bottom"/>
          </w:tcPr>
          <w:p w:rsidR="00C67B81" w:rsidRPr="00C67B81" w:rsidRDefault="00C67B81" w:rsidP="00401B15">
            <w:pPr>
              <w:tabs>
                <w:tab w:val="left" w:pos="288"/>
                <w:tab w:val="left" w:pos="576"/>
                <w:tab w:val="left" w:pos="864"/>
                <w:tab w:val="left" w:pos="1152"/>
              </w:tabs>
              <w:spacing w:before="81" w:after="81" w:line="240" w:lineRule="auto"/>
              <w:ind w:left="144" w:right="43"/>
              <w:jc w:val="right"/>
              <w:rPr>
                <w:b/>
                <w:sz w:val="17"/>
                <w:szCs w:val="18"/>
              </w:rPr>
            </w:pPr>
            <w:r w:rsidRPr="00C67B81">
              <w:rPr>
                <w:b/>
                <w:sz w:val="17"/>
                <w:szCs w:val="18"/>
              </w:rPr>
              <w:t xml:space="preserve">4 951 052 </w:t>
            </w:r>
          </w:p>
        </w:tc>
      </w:tr>
    </w:tbl>
    <w:p w:rsidR="00DD03ED" w:rsidRPr="008A40B9" w:rsidRDefault="00DD03ED" w:rsidP="00401B15">
      <w:pPr>
        <w:pStyle w:val="SingleTxt"/>
        <w:spacing w:after="0" w:line="120" w:lineRule="exact"/>
        <w:rPr>
          <w:sz w:val="10"/>
          <w:lang w:val="en-US"/>
        </w:rPr>
      </w:pPr>
    </w:p>
    <w:p w:rsidR="00306E0D" w:rsidRDefault="00306E0D" w:rsidP="00401B15">
      <w:pPr>
        <w:pStyle w:val="FootnoteText"/>
        <w:tabs>
          <w:tab w:val="clear" w:pos="418"/>
          <w:tab w:val="right" w:pos="1476"/>
          <w:tab w:val="left" w:pos="1548"/>
          <w:tab w:val="right" w:pos="1836"/>
          <w:tab w:val="left" w:pos="1908"/>
        </w:tabs>
        <w:ind w:left="1548" w:hanging="288"/>
      </w:pPr>
      <w:r w:rsidRPr="008A40B9">
        <w:rPr>
          <w:i/>
          <w:iCs/>
        </w:rPr>
        <w:t>Abbreviations</w:t>
      </w:r>
      <w:r>
        <w:t>: ComNat-APLC, Commission nationale de lutte contre la prolifération et la circulation illicite des armes légères et de petit caliber; IOM, International Organization for Migration; UNDP, United Nations Development Programme; UNFPA, United Nations Population Fund; UNICEF, United Nations Children</w:t>
      </w:r>
      <w:r w:rsidR="00C46DBF">
        <w:t>’</w:t>
      </w:r>
      <w:r>
        <w:t xml:space="preserve">s Fund; UN-Women, United Nations Entity for Gender Equality and the Empowerment of Women. </w:t>
      </w:r>
    </w:p>
    <w:p w:rsidR="00306E0D" w:rsidRDefault="00306E0D" w:rsidP="00A12AD5">
      <w:pPr>
        <w:pStyle w:val="SingleTxt"/>
        <w:keepNext/>
        <w:keepLines/>
        <w:spacing w:line="230" w:lineRule="atLeast"/>
      </w:pPr>
      <w:r>
        <w:t>29.</w:t>
      </w:r>
      <w:r>
        <w:tab/>
        <w:t xml:space="preserve">The Advisory Committee enquired as to the arrangements to be put in place for the oversight, governance and reporting of the proposed activities by the United Nations country team. The Committee was informed that the general guidelines set out by the Department of Peacekeeping Operations and the Department of Field Support for peacekeeping missions would apply, as well as the application of standard procedures in collaboration with the United Nations country team, such as putting in place a memorandum of understanding typically used between the Organization and implementing partners. It was indicated to the Committee that, in recognition of the need for proper oversight and accounting of funding for programme delivery, financial and substantive reporting would be a mandatory requirement for all implementing partners. </w:t>
      </w:r>
      <w:r w:rsidRPr="008A40B9">
        <w:rPr>
          <w:b/>
          <w:bCs/>
        </w:rPr>
        <w:t xml:space="preserve">Considering that the proposed scale-up activities and programming of the United Nations country team is scheduled to take place during the withdrawal and closure of UNOCI, the Advisory Committee trusts that more detailed information on the project governance and reporting will be provided to the General Assembly at the time of its consideration of the revised budget for UNOCI for 2016/17. The Committee recommends that the Assembly request that the Secretary-General put in place sufficient measures to ensure that the implementing agencies are held accountable for the implementation of the proposed activities, along with the necessary programmatic and financial reporting requirements. In addition, the Committee requests that detailed information on the implementation of the projects be provided in the Operation performance report for the relevant period. </w:t>
      </w:r>
    </w:p>
    <w:p w:rsidR="00306E0D" w:rsidRDefault="00306E0D" w:rsidP="00A12AD5">
      <w:pPr>
        <w:pStyle w:val="SingleTxt"/>
        <w:keepNext/>
        <w:keepLines/>
        <w:spacing w:line="230" w:lineRule="atLeast"/>
      </w:pPr>
      <w:r>
        <w:t>30.</w:t>
      </w:r>
      <w:r>
        <w:tab/>
        <w:t xml:space="preserve">In that connection, the Advisory Committee recalls that the General Assembly, in paragraph 68 of its resolution </w:t>
      </w:r>
      <w:hyperlink r:id="rId41" w:history="1">
        <w:r w:rsidRPr="00306E0D">
          <w:rPr>
            <w:rStyle w:val="Hyperlink"/>
          </w:rPr>
          <w:t>70/286</w:t>
        </w:r>
      </w:hyperlink>
      <w:r>
        <w:t xml:space="preserve"> on cross-cutting issues, recognized that the inclusion of programmatic funds in mission budgets on a case-by-case basis was intended to support the effective implementation of mandated tasks, and, in order to provide greater transparency, requested the Secretary-General to clearly and consistently present the cost of such activities when they were included in future mission budgets. In paragraph 69 of the same resolution, the Assembly also requested the Secretary-General to provide information on programmatic funding, including the scope, criteria, governance and accounting procedures, in the context of his next overview report. </w:t>
      </w:r>
      <w:r w:rsidRPr="00C46DBF">
        <w:rPr>
          <w:b/>
          <w:bCs/>
        </w:rPr>
        <w:t>The Advisory Committee will revert to the matter in the context of its consideration of the next report of the Secretary-General on the overview of the financing of the United Nations peacekeeping operations.</w:t>
      </w:r>
      <w:r>
        <w:t xml:space="preserve"> </w:t>
      </w:r>
    </w:p>
    <w:p w:rsidR="00306E0D" w:rsidRPr="008A40B9" w:rsidRDefault="00306E0D" w:rsidP="008A40B9">
      <w:pPr>
        <w:pStyle w:val="SingleTxt"/>
        <w:spacing w:after="0" w:line="120" w:lineRule="exact"/>
        <w:rPr>
          <w:sz w:val="10"/>
        </w:rPr>
      </w:pPr>
    </w:p>
    <w:p w:rsidR="00306E0D" w:rsidRDefault="008A40B9" w:rsidP="00A12A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 xml:space="preserve">National staff </w:t>
      </w:r>
    </w:p>
    <w:p w:rsidR="00306E0D" w:rsidRPr="008A40B9" w:rsidRDefault="00306E0D" w:rsidP="00A12AD5">
      <w:pPr>
        <w:pStyle w:val="SingleTxt"/>
        <w:spacing w:after="0" w:line="120" w:lineRule="exact"/>
        <w:rPr>
          <w:sz w:val="10"/>
        </w:rPr>
      </w:pPr>
    </w:p>
    <w:p w:rsidR="00306E0D" w:rsidRDefault="00306E0D" w:rsidP="00401B15">
      <w:pPr>
        <w:pStyle w:val="SingleTxt"/>
      </w:pPr>
      <w:r>
        <w:t>31.</w:t>
      </w:r>
      <w:r>
        <w:tab/>
        <w:t xml:space="preserve">The Secretary-General provides information on proposed training activities planned to assist national staff in their transition to future professional careers outside the Operation (see </w:t>
      </w:r>
      <w:hyperlink r:id="rId42" w:history="1">
        <w:r w:rsidRPr="00306E0D">
          <w:rPr>
            <w:rStyle w:val="Hyperlink"/>
          </w:rPr>
          <w:t>A/71/599</w:t>
        </w:r>
      </w:hyperlink>
      <w:r>
        <w:t xml:space="preserve">, paras. 38 and 39), as requested by the General Assembly in its resolution </w:t>
      </w:r>
      <w:hyperlink r:id="rId43" w:history="1">
        <w:r w:rsidRPr="00306E0D">
          <w:rPr>
            <w:rStyle w:val="Hyperlink"/>
          </w:rPr>
          <w:t>70/272</w:t>
        </w:r>
      </w:hyperlink>
      <w:r>
        <w:t>. In the same resolution, the Assembly also commended the Operation for the efforts undertaken in that regard</w:t>
      </w:r>
      <w:r w:rsidR="008A40B9">
        <w:t>.</w:t>
      </w:r>
      <w:r>
        <w:t xml:space="preserve"> </w:t>
      </w:r>
    </w:p>
    <w:p w:rsidR="00306E0D" w:rsidRDefault="00306E0D" w:rsidP="00401B15">
      <w:pPr>
        <w:pStyle w:val="SingleTxt"/>
        <w:rPr>
          <w:b/>
          <w:bCs/>
        </w:rPr>
      </w:pPr>
      <w:r>
        <w:t>32.</w:t>
      </w:r>
      <w:r>
        <w:tab/>
        <w:t xml:space="preserve">Upon enquiry, the Advisory Committee was informed that the proposed training plan for the 2016/17 period was oriented towards the capacity-building and enhancement of the professional competencies of UNOCI staff, with a particular focus on national staff members. UNOCI had organized and would continue to conduct a variety of training programmes, including one job fair held in September 2016, and another planned for December 2016 with the participation of United Nations agencies and offices. The Committee was also informed that the competencies of the UNOCI national staff were highly regarded. A number of national staff had recently been recruited by embassies, the African Development Bank, the national civil service and a few private companies, as well as by other United Nations missions and the United Nations Volunteer programme. Other courses provided had helped a small number of staff to finalize individual projects to launch their own small businesses. </w:t>
      </w:r>
      <w:r w:rsidRPr="008A40B9">
        <w:rPr>
          <w:b/>
          <w:bCs/>
        </w:rPr>
        <w:t>The Advisory Committee welcomes the efforts undertaken by UNOCI to prepare national staff for the transition by conducting training and hosting job fairs.</w:t>
      </w:r>
    </w:p>
    <w:p w:rsidR="008A40B9" w:rsidRPr="008A40B9" w:rsidRDefault="008A40B9" w:rsidP="008A40B9">
      <w:pPr>
        <w:pStyle w:val="SingleTxt"/>
        <w:keepNext/>
        <w:keepLines/>
        <w:spacing w:after="0" w:line="120" w:lineRule="exact"/>
        <w:rPr>
          <w:b/>
          <w:bCs/>
          <w:sz w:val="10"/>
        </w:rPr>
      </w:pPr>
    </w:p>
    <w:p w:rsidR="00306E0D" w:rsidRDefault="008A40B9" w:rsidP="00507E56">
      <w:pPr>
        <w:pStyle w:val="H23"/>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306E0D">
        <w:t xml:space="preserve">Quick-impact projects </w:t>
      </w:r>
    </w:p>
    <w:p w:rsidR="008A40B9" w:rsidRPr="008A40B9" w:rsidRDefault="008A40B9" w:rsidP="008A40B9">
      <w:pPr>
        <w:pStyle w:val="SingleTxt"/>
        <w:spacing w:after="0" w:line="120" w:lineRule="exact"/>
        <w:rPr>
          <w:sz w:val="10"/>
          <w:lang w:val="en-US"/>
        </w:rPr>
      </w:pPr>
    </w:p>
    <w:p w:rsidR="00306E0D" w:rsidRDefault="00306E0D" w:rsidP="00507E56">
      <w:pPr>
        <w:pStyle w:val="SingleTxt"/>
      </w:pPr>
      <w:r>
        <w:t>33.</w:t>
      </w:r>
      <w:r>
        <w:tab/>
        <w:t>The report of the Secretary-General proposed a provision of $2 million for the 2016/17 period for the implementation of 49 quick-impact projects, and states that the implementation of such projects by UNOCI remains critical, in particular those in support of the facilitation role of the Special Representative of the Secretary-General in strengthening social cohesion and national reconciliation in the light of the Operation</w:t>
      </w:r>
      <w:r w:rsidR="00C46DBF">
        <w:t>’</w:t>
      </w:r>
      <w:r>
        <w:t xml:space="preserve">s withdrawal and closure (see </w:t>
      </w:r>
      <w:hyperlink r:id="rId44" w:history="1">
        <w:r w:rsidRPr="00306E0D">
          <w:rPr>
            <w:rStyle w:val="Hyperlink"/>
          </w:rPr>
          <w:t>A/71/599</w:t>
        </w:r>
      </w:hyperlink>
      <w:r>
        <w:t xml:space="preserve">, paras. 113 and 114). </w:t>
      </w:r>
    </w:p>
    <w:p w:rsidR="00306E0D" w:rsidRDefault="00306E0D" w:rsidP="00507E56">
      <w:pPr>
        <w:pStyle w:val="SingleTxt"/>
        <w:rPr>
          <w:b/>
          <w:bCs/>
        </w:rPr>
      </w:pPr>
      <w:r>
        <w:t>34.</w:t>
      </w:r>
      <w:r>
        <w:tab/>
        <w:t xml:space="preserve">Upon enquiry, the Advisory Committee was informed that all projects were to be completed by 31 March 2017 and that all post-implementation evaluations would be completed by 30 April 2017. The Committee was also informed that expenditures amounted to $1,688,195 as at 31 October 2016. </w:t>
      </w:r>
      <w:r w:rsidRPr="00507E56">
        <w:rPr>
          <w:b/>
          <w:bCs/>
        </w:rPr>
        <w:t>The Advisory Committee trusts that all projects will be properly concluded as planned.</w:t>
      </w:r>
    </w:p>
    <w:p w:rsidR="00507E56" w:rsidRPr="00507E56" w:rsidRDefault="00507E56" w:rsidP="00507E56">
      <w:pPr>
        <w:pStyle w:val="SingleTxt"/>
        <w:spacing w:after="0" w:line="120" w:lineRule="exact"/>
        <w:rPr>
          <w:b/>
          <w:bCs/>
          <w:sz w:val="10"/>
        </w:rPr>
      </w:pPr>
    </w:p>
    <w:p w:rsidR="00507E56" w:rsidRPr="00507E56" w:rsidRDefault="00507E56" w:rsidP="00507E56">
      <w:pPr>
        <w:pStyle w:val="SingleTxt"/>
        <w:spacing w:after="0" w:line="120" w:lineRule="exact"/>
        <w:rPr>
          <w:sz w:val="10"/>
        </w:rPr>
      </w:pPr>
    </w:p>
    <w:p w:rsidR="00306E0D" w:rsidRDefault="00507E56" w:rsidP="00507E56">
      <w:pPr>
        <w:pStyle w:val="H1"/>
        <w:ind w:right="1260"/>
      </w:pPr>
      <w:r>
        <w:tab/>
      </w:r>
      <w:r w:rsidR="00306E0D">
        <w:t>C.</w:t>
      </w:r>
      <w:r>
        <w:tab/>
      </w:r>
      <w:r w:rsidR="00306E0D">
        <w:t xml:space="preserve">Liquidation activities, restoration and environmental clearance </w:t>
      </w:r>
    </w:p>
    <w:p w:rsidR="00507E56" w:rsidRPr="00507E56" w:rsidRDefault="00507E56" w:rsidP="00507E56">
      <w:pPr>
        <w:pStyle w:val="SingleTxt"/>
        <w:spacing w:after="0" w:line="120" w:lineRule="exact"/>
        <w:rPr>
          <w:sz w:val="10"/>
        </w:rPr>
      </w:pPr>
    </w:p>
    <w:p w:rsidR="00507E56" w:rsidRPr="00507E56" w:rsidRDefault="00507E56" w:rsidP="00507E56">
      <w:pPr>
        <w:pStyle w:val="SingleTxt"/>
        <w:spacing w:after="0" w:line="120" w:lineRule="exact"/>
        <w:rPr>
          <w:sz w:val="10"/>
        </w:rPr>
      </w:pPr>
    </w:p>
    <w:p w:rsidR="00306E0D" w:rsidRDefault="00306E0D" w:rsidP="00507E56">
      <w:pPr>
        <w:pStyle w:val="SingleTxt"/>
      </w:pPr>
      <w:r>
        <w:t>35.</w:t>
      </w:r>
      <w:r>
        <w:tab/>
        <w:t>Information with respect to the liquidation activities and environmental clearance is contained in paragraphs 40 to 49 of the report of the Secretary-General.</w:t>
      </w:r>
      <w:r w:rsidR="00507E56">
        <w:t xml:space="preserve"> </w:t>
      </w:r>
      <w:r>
        <w:t xml:space="preserve">The Secretary-General indicates that, pursuant to paragraph 13 of General Assembly resolution </w:t>
      </w:r>
      <w:hyperlink r:id="rId45" w:history="1">
        <w:r w:rsidRPr="00306E0D">
          <w:rPr>
            <w:rStyle w:val="Hyperlink"/>
          </w:rPr>
          <w:t>70/272</w:t>
        </w:r>
      </w:hyperlink>
      <w:r>
        <w:t xml:space="preserve">, UNOCI has established a transition and liquidation task force, which is supported by two working groups: one on asset disposal and the other on camp closures. </w:t>
      </w:r>
    </w:p>
    <w:p w:rsidR="00306E0D" w:rsidRDefault="00306E0D" w:rsidP="00462179">
      <w:pPr>
        <w:pStyle w:val="SingleTxt"/>
        <w:spacing w:line="230" w:lineRule="atLeast"/>
        <w:rPr>
          <w:b/>
          <w:bCs/>
        </w:rPr>
      </w:pPr>
      <w:r>
        <w:t>36.</w:t>
      </w:r>
      <w:r>
        <w:tab/>
        <w:t xml:space="preserve">The Advisory Committee sought and received assurances, upon enquiry, that UNOCI would strictly adhere to the United Nations regulations and rules governing the management of financial and human resources and assets, property, travel, procurement, medical administration, uniformed personnel and contingent-owned equipment throughout the liquidation and closure of the Operation. </w:t>
      </w:r>
      <w:r w:rsidRPr="00507E56">
        <w:rPr>
          <w:b/>
          <w:bCs/>
        </w:rPr>
        <w:t>The Advisory Committee stresses that the Operation must draw from the lessons learned from other operations with a view to ensuring the timely and appropriate liquidation and closure process in compliance with all applicable regulations and rules. The Committee expects that the Secretary-General will provide detailed information in that regard, including on any outstanding claims, in future performance reports of the Operation.</w:t>
      </w:r>
    </w:p>
    <w:p w:rsidR="00507E56" w:rsidRPr="00507E56" w:rsidRDefault="00507E56" w:rsidP="00507E56">
      <w:pPr>
        <w:pStyle w:val="SingleTxt"/>
        <w:spacing w:after="0" w:line="120" w:lineRule="exact"/>
        <w:rPr>
          <w:b/>
          <w:bCs/>
          <w:sz w:val="10"/>
        </w:rPr>
      </w:pPr>
    </w:p>
    <w:p w:rsidR="00306E0D" w:rsidRDefault="00507E56" w:rsidP="00507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 xml:space="preserve">Disposal of assets </w:t>
      </w:r>
    </w:p>
    <w:p w:rsidR="00507E56" w:rsidRPr="00507E56" w:rsidRDefault="00507E56" w:rsidP="00507E56">
      <w:pPr>
        <w:pStyle w:val="SingleTxt"/>
        <w:spacing w:after="0" w:line="120" w:lineRule="exact"/>
        <w:rPr>
          <w:sz w:val="10"/>
        </w:rPr>
      </w:pPr>
    </w:p>
    <w:p w:rsidR="00306E0D" w:rsidRDefault="00306E0D" w:rsidP="00462179">
      <w:pPr>
        <w:pStyle w:val="SingleTxt"/>
        <w:spacing w:line="230" w:lineRule="atLeast"/>
      </w:pPr>
      <w:r>
        <w:t>37.</w:t>
      </w:r>
      <w:r>
        <w:tab/>
        <w:t>The report of the Secretary-General indicates that UNOCI is finalizing its draft preliminary asset disposal plan, which will be completed in November 2016. Once completed and endorsed by the Chief of Mission Support and the United Nations Logistic Base at Brindisi, Italy, it will become the UNOCI asset disposal plan (see</w:t>
      </w:r>
      <w:r w:rsidR="00666219">
        <w:t> </w:t>
      </w:r>
      <w:hyperlink r:id="rId46" w:history="1">
        <w:r w:rsidRPr="00306E0D">
          <w:rPr>
            <w:rStyle w:val="Hyperlink"/>
          </w:rPr>
          <w:t>A/71/599</w:t>
        </w:r>
      </w:hyperlink>
      <w:r>
        <w:t xml:space="preserve">, para. 44). The Advisory Committee was informed upon enquiry that the draft plan had been completed and was forwarded to the Director of the United Nations Logistic Base for review and approval on 4 November 2016. </w:t>
      </w:r>
      <w:r w:rsidRPr="00507E56">
        <w:rPr>
          <w:b/>
          <w:bCs/>
        </w:rPr>
        <w:t>The Advisory Committee welcomes the finalization of the Operation</w:t>
      </w:r>
      <w:r w:rsidR="00C46DBF">
        <w:rPr>
          <w:b/>
          <w:bCs/>
        </w:rPr>
        <w:t>’</w:t>
      </w:r>
      <w:r w:rsidRPr="00507E56">
        <w:rPr>
          <w:b/>
          <w:bCs/>
        </w:rPr>
        <w:t>s preliminary asset disposal plan and expects that, once it is approved, the Operation will implement the plan in a timely manner</w:t>
      </w:r>
      <w:r>
        <w:t xml:space="preserve"> (see also para. 22 above). </w:t>
      </w:r>
    </w:p>
    <w:p w:rsidR="00306E0D" w:rsidRDefault="00306E0D" w:rsidP="00462179">
      <w:pPr>
        <w:pStyle w:val="SingleTxt"/>
        <w:spacing w:line="230" w:lineRule="atLeast"/>
      </w:pPr>
      <w:r>
        <w:t>38.</w:t>
      </w:r>
      <w:r>
        <w:tab/>
      </w:r>
      <w:r w:rsidRPr="003E2C0A">
        <w:rPr>
          <w:w w:val="101"/>
        </w:rPr>
        <w:t>The report indicates that the Operation will dispose of an estimated 11,834 items of property, plant and equipment, which have an estimated depreciated value of $26.8 million, and 3,200,000 items of expendable inventory with an estimated value of $20.6 million. The above-mentioned items will be disposed of through: (a)</w:t>
      </w:r>
      <w:r w:rsidR="00507E56" w:rsidRPr="003E2C0A">
        <w:rPr>
          <w:w w:val="101"/>
        </w:rPr>
        <w:t> </w:t>
      </w:r>
      <w:r w:rsidRPr="003E2C0A">
        <w:rPr>
          <w:w w:val="101"/>
        </w:rPr>
        <w:t>transfer to other peacekeeping missions; (b) commercial sale and disposal; and (c) donation to the host Government and to non-governmental organizations (see</w:t>
      </w:r>
      <w:r w:rsidR="003E2C0A" w:rsidRPr="003E2C0A">
        <w:rPr>
          <w:w w:val="101"/>
        </w:rPr>
        <w:t> </w:t>
      </w:r>
      <w:hyperlink r:id="rId47" w:history="1">
        <w:r w:rsidRPr="003E2C0A">
          <w:rPr>
            <w:rStyle w:val="Hyperlink"/>
            <w:w w:val="101"/>
          </w:rPr>
          <w:t>A/71/599</w:t>
        </w:r>
      </w:hyperlink>
      <w:r w:rsidRPr="003E2C0A">
        <w:rPr>
          <w:w w:val="101"/>
        </w:rPr>
        <w:t xml:space="preserve">, paras. 41 and 42). </w:t>
      </w:r>
      <w:r w:rsidRPr="003E2C0A">
        <w:rPr>
          <w:b/>
          <w:bCs/>
          <w:w w:val="101"/>
        </w:rPr>
        <w:t>The Advisory Committee trusts that the liquidation of assets will be conducted in compliance with financial regulation 5.14.</w:t>
      </w:r>
      <w:r>
        <w:t xml:space="preserve"> </w:t>
      </w:r>
    </w:p>
    <w:p w:rsidR="00306E0D" w:rsidRDefault="00306E0D" w:rsidP="00462179">
      <w:pPr>
        <w:pStyle w:val="SingleTxt"/>
        <w:spacing w:line="230" w:lineRule="atLeast"/>
      </w:pPr>
      <w:r>
        <w:t>39.</w:t>
      </w:r>
      <w:r>
        <w:tab/>
        <w:t>The Advisory Committee was informed upon enquiry that the transfer of assets to special political missions was also considered in the Operation</w:t>
      </w:r>
      <w:r w:rsidR="00C46DBF">
        <w:t>’</w:t>
      </w:r>
      <w:r>
        <w:t>s process of asset disposal. The assets that had been shipped or that were in the process of being shipped included 254 items intended for the United Nations Support Mission in Libya, while 751 items were still being processed.</w:t>
      </w:r>
    </w:p>
    <w:p w:rsidR="00507E56" w:rsidRPr="00507E56" w:rsidRDefault="00507E56" w:rsidP="00507E56">
      <w:pPr>
        <w:pStyle w:val="SingleTxt"/>
        <w:spacing w:after="0" w:line="120" w:lineRule="exact"/>
        <w:rPr>
          <w:sz w:val="10"/>
        </w:rPr>
      </w:pPr>
    </w:p>
    <w:p w:rsidR="00306E0D" w:rsidRDefault="00507E56" w:rsidP="00507E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06E0D">
        <w:t>Works to restore premises</w:t>
      </w:r>
    </w:p>
    <w:p w:rsidR="00507E56" w:rsidRPr="00507E56" w:rsidRDefault="00507E56" w:rsidP="00507E56">
      <w:pPr>
        <w:pStyle w:val="SingleTxt"/>
        <w:spacing w:after="0" w:line="120" w:lineRule="exact"/>
        <w:rPr>
          <w:sz w:val="10"/>
          <w:lang w:val="en-US"/>
        </w:rPr>
      </w:pPr>
    </w:p>
    <w:p w:rsidR="00306E0D" w:rsidRDefault="00306E0D" w:rsidP="00462179">
      <w:pPr>
        <w:pStyle w:val="SingleTxt"/>
        <w:spacing w:line="230" w:lineRule="atLeast"/>
      </w:pPr>
      <w:r>
        <w:t>40.</w:t>
      </w:r>
      <w:r>
        <w:tab/>
        <w:t xml:space="preserve">A provision of $4,142,470 is proposed for alteration and renovation, including environmental improvement projects. The report indicates that the overall reduction in requirements under facilities and infrastructure is offset, in part, by increased requirements for alteration and renovation services to restore premises to their original state in preparation for handover to private landlords and government authorities, as required under rental agreements and the status-of-mission agreement (see </w:t>
      </w:r>
      <w:hyperlink r:id="rId48" w:history="1">
        <w:r w:rsidRPr="00306E0D">
          <w:rPr>
            <w:rStyle w:val="Hyperlink"/>
          </w:rPr>
          <w:t>A/71/599</w:t>
        </w:r>
      </w:hyperlink>
      <w:r>
        <w:t>, para. 126). During the 2016/17 period, UNOCI plans to gradually close and hand over to the respective owners the various premises in phases (see</w:t>
      </w:r>
      <w:r w:rsidR="009C2D39">
        <w:t> </w:t>
      </w:r>
      <w:hyperlink r:id="rId49" w:history="1">
        <w:r w:rsidRPr="00306E0D">
          <w:rPr>
            <w:rStyle w:val="Hyperlink"/>
          </w:rPr>
          <w:t>A/71/599</w:t>
        </w:r>
      </w:hyperlink>
      <w:r>
        <w:t xml:space="preserve">, paras. 20 and 21). </w:t>
      </w:r>
    </w:p>
    <w:p w:rsidR="00306E0D" w:rsidRDefault="00306E0D" w:rsidP="00462179">
      <w:pPr>
        <w:pStyle w:val="SingleTxt"/>
        <w:spacing w:line="230" w:lineRule="atLeast"/>
      </w:pPr>
      <w:r>
        <w:t>41.</w:t>
      </w:r>
      <w:r>
        <w:tab/>
        <w:t xml:space="preserve">The Advisory Committee was informed upon enquiry that UNOCI was located at 63 premises as at 30 June 2016, rather than the 58 sites mentioned in paragraph 20 of the report of the Secretary-General. Of the 63 locations, 16 had been closed since 1 July 2016, mainly due to the repatriation of military contingents and formed police units. The Operation was present at 47 premises as at 22 November 2016. Furthermore, for 14 of the 47 premises, a small portion had been retained with a new lease or memorandum of understanding, while the remaining portion of the premises had been handed over to the rightful owners. From January to June 2017, the remaining 33 premises and the retained portions of the 14 premises are planned to be handed over to the owners in a phased manner as the Operation proceeds with its drawdown. </w:t>
      </w:r>
    </w:p>
    <w:p w:rsidR="00306E0D" w:rsidRDefault="00306E0D" w:rsidP="008F7526">
      <w:pPr>
        <w:pStyle w:val="SingleTxt"/>
        <w:spacing w:line="240" w:lineRule="exact"/>
        <w:rPr>
          <w:b/>
          <w:bCs/>
        </w:rPr>
      </w:pPr>
      <w:r>
        <w:t>42.</w:t>
      </w:r>
      <w:r>
        <w:tab/>
        <w:t xml:space="preserve">Upon enquiry, the Advisory Committee was further informed that </w:t>
      </w:r>
      <w:r w:rsidR="00C46DBF">
        <w:t>“</w:t>
      </w:r>
      <w:r>
        <w:t>restoration of premises</w:t>
      </w:r>
      <w:r w:rsidR="00C46DBF">
        <w:t>”</w:t>
      </w:r>
      <w:r>
        <w:t xml:space="preserve"> refers to works that UNOCI is obligated to perform under commercial leases in order to return premises to landlords in good and orderly condition (except wear and tear), and to remove any alterations undertaken by UNOCI should a landlord so request. A provision of $1,871,800 was included in the revised budget for 2016/17 for such works for 25 commercially leased premises. In cases where the Government had provided land, the Operation was planning to hand over camps in their current condition. </w:t>
      </w:r>
      <w:r w:rsidRPr="00507E56">
        <w:rPr>
          <w:b/>
          <w:bCs/>
        </w:rPr>
        <w:t>The Advisory Committee is of the view that more detailed information on the restoration works to premises and the handover process should be provided to the General Assembly at the time of its consideration of the revised budget for 2016/17.</w:t>
      </w:r>
    </w:p>
    <w:p w:rsidR="008F7526" w:rsidRPr="008F7526" w:rsidRDefault="008F7526" w:rsidP="008F7526">
      <w:pPr>
        <w:pStyle w:val="SingleTxt"/>
        <w:spacing w:after="0" w:line="120" w:lineRule="exact"/>
        <w:rPr>
          <w:b/>
          <w:bCs/>
          <w:sz w:val="10"/>
        </w:rPr>
      </w:pPr>
    </w:p>
    <w:p w:rsidR="008F7526" w:rsidRDefault="00507E56" w:rsidP="008F7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306E0D">
        <w:t>Camp closure and environmental clearance</w:t>
      </w:r>
    </w:p>
    <w:p w:rsidR="008F7526" w:rsidRPr="008F7526" w:rsidRDefault="008F7526" w:rsidP="008F7526">
      <w:pPr>
        <w:pStyle w:val="SingleTxt"/>
        <w:spacing w:after="0" w:line="120" w:lineRule="exact"/>
        <w:rPr>
          <w:sz w:val="10"/>
        </w:rPr>
      </w:pPr>
    </w:p>
    <w:p w:rsidR="00306E0D" w:rsidRDefault="00306E0D" w:rsidP="00401B15">
      <w:pPr>
        <w:pStyle w:val="SingleTxt"/>
        <w:spacing w:line="240" w:lineRule="exact"/>
      </w:pPr>
      <w:r>
        <w:t>43.</w:t>
      </w:r>
      <w:r>
        <w:tab/>
        <w:t xml:space="preserve">The Secretary-General indicates that UNOCI is strongly committed to environmentally responsible closure of the Operation. The report indicates that the environmental clearance activities, which are undertaken in coordination with the Environment Unit and in line with Department of Peacekeeping Operations and UNOCI environmental policies and procedures, include: (a) camp clearance by the military contingents and formed police units to ensure that solid and hazardous waste (such as furniture, vehicle batteries, tires, chemicals and waste oils) is disposed of in an environmentally sound manner by the United Nations contracted waste disposal service providers; (b) clean-up actions undertaken by the Engineering Section (such as the removal of oil- and fuel-contaminated soil from vehicle workshop areas, the disposal of wood waste and the demolition of debris); and (c) the incineration of medical waste by the Medical Unit (see </w:t>
      </w:r>
      <w:hyperlink r:id="rId50" w:history="1">
        <w:r w:rsidRPr="00306E0D">
          <w:rPr>
            <w:rStyle w:val="Hyperlink"/>
          </w:rPr>
          <w:t>A/71/599</w:t>
        </w:r>
      </w:hyperlink>
      <w:r>
        <w:t>, paras.</w:t>
      </w:r>
      <w:r w:rsidR="00507E56">
        <w:t> </w:t>
      </w:r>
      <w:r>
        <w:t xml:space="preserve">47 to 49). </w:t>
      </w:r>
    </w:p>
    <w:p w:rsidR="00306E0D" w:rsidRDefault="00306E0D" w:rsidP="00401B15">
      <w:pPr>
        <w:pStyle w:val="SingleTxt"/>
        <w:spacing w:line="240" w:lineRule="exact"/>
      </w:pPr>
      <w:r>
        <w:t>44.</w:t>
      </w:r>
      <w:r>
        <w:tab/>
      </w:r>
      <w:r w:rsidRPr="00507E56">
        <w:rPr>
          <w:b/>
          <w:bCs/>
        </w:rPr>
        <w:t xml:space="preserve">The Advisory Committee stresses the importance of compliance with the relevant rules and regulations, including, but not limited to, the United Nations environmental and waste management policy and procedures, as requested by the General Assembly in paragraph 31 of its resolution </w:t>
      </w:r>
      <w:hyperlink r:id="rId51" w:history="1">
        <w:r w:rsidRPr="00507E56">
          <w:rPr>
            <w:rStyle w:val="Hyperlink"/>
            <w:b/>
            <w:bCs/>
          </w:rPr>
          <w:t>70/286</w:t>
        </w:r>
      </w:hyperlink>
      <w:r w:rsidRPr="00507E56">
        <w:rPr>
          <w:b/>
          <w:bCs/>
        </w:rPr>
        <w:t>. Furthermore, the Committee is of the view that lessons learned from the closed peacekeeping operations with respect to environmental clearance activities should be applied by the Operation.</w:t>
      </w:r>
      <w:r>
        <w:t xml:space="preserve"> </w:t>
      </w:r>
    </w:p>
    <w:p w:rsidR="00306E0D" w:rsidRPr="00507E56" w:rsidRDefault="00306E0D" w:rsidP="00507E56">
      <w:pPr>
        <w:pStyle w:val="SingleTxt"/>
        <w:spacing w:after="0" w:line="120" w:lineRule="exact"/>
        <w:rPr>
          <w:sz w:val="10"/>
        </w:rPr>
      </w:pPr>
    </w:p>
    <w:p w:rsidR="00507E56" w:rsidRPr="00507E56" w:rsidRDefault="00507E56" w:rsidP="00507E56">
      <w:pPr>
        <w:pStyle w:val="SingleTxt"/>
        <w:spacing w:after="0" w:line="120" w:lineRule="exact"/>
        <w:rPr>
          <w:sz w:val="10"/>
        </w:rPr>
      </w:pPr>
    </w:p>
    <w:p w:rsidR="00306E0D" w:rsidRDefault="00507E56" w:rsidP="00507E56">
      <w:pPr>
        <w:pStyle w:val="HCh"/>
        <w:ind w:left="1267" w:right="1260" w:hanging="1267"/>
      </w:pPr>
      <w:r>
        <w:tab/>
      </w:r>
      <w:r w:rsidR="00306E0D">
        <w:t>III.</w:t>
      </w:r>
      <w:r w:rsidR="00306E0D">
        <w:tab/>
        <w:t xml:space="preserve">Conclusion </w:t>
      </w:r>
    </w:p>
    <w:p w:rsidR="00507E56" w:rsidRPr="00507E56" w:rsidRDefault="00507E56" w:rsidP="00507E56">
      <w:pPr>
        <w:pStyle w:val="SingleTxt"/>
        <w:spacing w:after="0" w:line="120" w:lineRule="exact"/>
        <w:rPr>
          <w:sz w:val="10"/>
        </w:rPr>
      </w:pPr>
    </w:p>
    <w:p w:rsidR="00507E56" w:rsidRPr="00507E56" w:rsidRDefault="00507E56" w:rsidP="00507E56">
      <w:pPr>
        <w:pStyle w:val="SingleTxt"/>
        <w:spacing w:after="0" w:line="120" w:lineRule="exact"/>
        <w:rPr>
          <w:sz w:val="10"/>
        </w:rPr>
      </w:pPr>
    </w:p>
    <w:p w:rsidR="00E40D3B" w:rsidRDefault="00306E0D" w:rsidP="00401B15">
      <w:pPr>
        <w:pStyle w:val="SingleTxt"/>
        <w:spacing w:line="240" w:lineRule="exact"/>
        <w:rPr>
          <w:b/>
          <w:bCs/>
        </w:rPr>
      </w:pPr>
      <w:r>
        <w:t>45.</w:t>
      </w:r>
      <w:r>
        <w:tab/>
        <w:t>The actions to be taken by the General Assembly in connection with the financing of UNOCI for the period from 1 July 2016 to 30 June 2017 are contained in section V of the revised budget (</w:t>
      </w:r>
      <w:hyperlink r:id="rId52" w:history="1">
        <w:r w:rsidRPr="00306E0D">
          <w:rPr>
            <w:rStyle w:val="Hyperlink"/>
          </w:rPr>
          <w:t>A/71/599</w:t>
        </w:r>
      </w:hyperlink>
      <w:r>
        <w:t xml:space="preserve">). </w:t>
      </w:r>
      <w:r w:rsidRPr="00507E56">
        <w:rPr>
          <w:b/>
          <w:bCs/>
        </w:rPr>
        <w:t xml:space="preserve">Subject to its comments and recommendations above, the Advisory Committee recommends that the Assembly appropriate an amount of $175,888,900 for the maintenance of the Operation for the 12-month period from 1 July 2016 to 30 June 2017, inclusive of the amount of $153,046,000 previously authorized for the period from 1 July to 31 December 2016 under the terms of Assembly resolution </w:t>
      </w:r>
      <w:hyperlink r:id="rId53" w:history="1">
        <w:r w:rsidRPr="00507E56">
          <w:rPr>
            <w:rStyle w:val="Hyperlink"/>
            <w:b/>
            <w:bCs/>
          </w:rPr>
          <w:t>70/272</w:t>
        </w:r>
      </w:hyperlink>
      <w:r w:rsidRPr="00507E56">
        <w:rPr>
          <w:b/>
          <w:bCs/>
        </w:rPr>
        <w:t>.</w:t>
      </w:r>
    </w:p>
    <w:p w:rsidR="00516431" w:rsidRDefault="00516431">
      <w:pPr>
        <w:suppressAutoHyphens w:val="0"/>
        <w:spacing w:after="200" w:line="276" w:lineRule="auto"/>
        <w:rPr>
          <w:b/>
          <w:bCs/>
        </w:rPr>
      </w:pPr>
      <w:r>
        <w:rPr>
          <w:b/>
          <w:bCs/>
        </w:rPr>
        <w:br w:type="page"/>
      </w:r>
    </w:p>
    <w:p w:rsidR="00516431" w:rsidRPr="00516431" w:rsidRDefault="004C61D9" w:rsidP="00516431">
      <w:pPr>
        <w:pStyle w:val="HCh"/>
        <w:ind w:left="1267" w:right="1260" w:hanging="1267"/>
      </w:pPr>
      <w:r>
        <w:t>Annex</w:t>
      </w:r>
    </w:p>
    <w:p w:rsidR="00516431" w:rsidRPr="00516431" w:rsidRDefault="00516431" w:rsidP="00516431">
      <w:pPr>
        <w:pStyle w:val="SingleTxt"/>
        <w:spacing w:after="0" w:line="120" w:lineRule="exact"/>
        <w:rPr>
          <w:b/>
          <w:bCs/>
          <w:sz w:val="10"/>
        </w:rPr>
      </w:pPr>
    </w:p>
    <w:p w:rsidR="00FD02D2" w:rsidRPr="00516431" w:rsidRDefault="00516431" w:rsidP="00E731AF">
      <w:pPr>
        <w:pStyle w:val="HCh"/>
        <w:spacing w:line="280" w:lineRule="exact"/>
        <w:ind w:left="1267" w:right="1267" w:hanging="1267"/>
        <w:rPr>
          <w:spacing w:val="4"/>
        </w:rPr>
      </w:pPr>
      <w:r>
        <w:tab/>
      </w:r>
      <w:r w:rsidR="00E731AF" w:rsidRPr="00E731AF">
        <w:tab/>
        <w:t>Status of expenditures and resource requirements for the United Nations Operation in Côte d’Ivoire for the period from 1 July 2016 to 30 June 2017, as at 31 October 2016</w:t>
      </w:r>
    </w:p>
    <w:p w:rsidR="00516431" w:rsidRPr="00E731AF" w:rsidRDefault="00516431" w:rsidP="00E731AF">
      <w:pPr>
        <w:pStyle w:val="SingleTxt"/>
        <w:spacing w:after="0" w:line="120" w:lineRule="exact"/>
        <w:rPr>
          <w:b/>
          <w:bCs/>
          <w:sz w:val="10"/>
        </w:rPr>
      </w:pPr>
    </w:p>
    <w:p w:rsidR="00E731AF" w:rsidRPr="00516431" w:rsidRDefault="00E731AF" w:rsidP="00516431">
      <w:pPr>
        <w:pStyle w:val="SingleTxt"/>
        <w:spacing w:after="0" w:line="120" w:lineRule="exact"/>
        <w:rPr>
          <w:b/>
          <w:bCs/>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583"/>
        <w:gridCol w:w="1221"/>
        <w:gridCol w:w="1194"/>
        <w:gridCol w:w="1302"/>
        <w:gridCol w:w="1087"/>
        <w:gridCol w:w="1195"/>
      </w:tblGrid>
      <w:tr w:rsidR="00373652" w:rsidRPr="00373652" w:rsidTr="001528FB">
        <w:trPr>
          <w:tblHeader/>
        </w:trPr>
        <w:tc>
          <w:tcPr>
            <w:tcW w:w="2583" w:type="dxa"/>
            <w:tcBorders>
              <w:top w:val="single" w:sz="4" w:space="0" w:color="auto"/>
            </w:tcBorders>
            <w:shd w:val="clear" w:color="auto" w:fill="auto"/>
            <w:vAlign w:val="bottom"/>
          </w:tcPr>
          <w:p w:rsidR="00373652" w:rsidRPr="00373652" w:rsidRDefault="00373652" w:rsidP="001528FB">
            <w:pPr>
              <w:spacing w:before="61" w:after="61" w:line="240" w:lineRule="auto"/>
              <w:ind w:right="43"/>
              <w:jc w:val="right"/>
              <w:rPr>
                <w:i/>
                <w:sz w:val="14"/>
                <w:szCs w:val="14"/>
                <w:lang w:eastAsia="en-GB"/>
              </w:rPr>
            </w:pPr>
            <w:r w:rsidRPr="00373652">
              <w:rPr>
                <w:i/>
                <w:sz w:val="14"/>
                <w:szCs w:val="14"/>
                <w:lang w:eastAsia="en-GB"/>
              </w:rPr>
              <w:t> </w:t>
            </w:r>
          </w:p>
        </w:tc>
        <w:tc>
          <w:tcPr>
            <w:tcW w:w="1221" w:type="dxa"/>
            <w:tcBorders>
              <w:top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Authority to enter into commitment</w:t>
            </w:r>
          </w:p>
        </w:tc>
        <w:tc>
          <w:tcPr>
            <w:tcW w:w="1194" w:type="dxa"/>
            <w:tcBorders>
              <w:top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 xml:space="preserve">Expenditure </w:t>
            </w:r>
          </w:p>
        </w:tc>
        <w:tc>
          <w:tcPr>
            <w:tcW w:w="1302" w:type="dxa"/>
            <w:tcBorders>
              <w:top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Projected expenditure</w:t>
            </w:r>
          </w:p>
        </w:tc>
        <w:tc>
          <w:tcPr>
            <w:tcW w:w="1087" w:type="dxa"/>
            <w:tcBorders>
              <w:top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Revised requirement</w:t>
            </w:r>
          </w:p>
        </w:tc>
        <w:tc>
          <w:tcPr>
            <w:tcW w:w="1195" w:type="dxa"/>
            <w:tcBorders>
              <w:top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 xml:space="preserve">Additional </w:t>
            </w:r>
            <w:r w:rsidR="003A7309">
              <w:rPr>
                <w:i/>
                <w:sz w:val="14"/>
                <w:szCs w:val="14"/>
                <w:lang w:eastAsia="en-GB"/>
              </w:rPr>
              <w:br/>
            </w:r>
            <w:r w:rsidRPr="00373652">
              <w:rPr>
                <w:i/>
                <w:sz w:val="14"/>
                <w:szCs w:val="14"/>
                <w:lang w:eastAsia="en-GB"/>
              </w:rPr>
              <w:t>revised requirement</w:t>
            </w:r>
          </w:p>
        </w:tc>
      </w:tr>
      <w:tr w:rsidR="00373652" w:rsidRPr="00373652" w:rsidTr="001528FB">
        <w:trPr>
          <w:tblHeader/>
        </w:trPr>
        <w:tc>
          <w:tcPr>
            <w:tcW w:w="2583" w:type="dxa"/>
            <w:shd w:val="clear" w:color="auto" w:fill="auto"/>
            <w:vAlign w:val="bottom"/>
          </w:tcPr>
          <w:p w:rsidR="00373652" w:rsidRPr="00373652" w:rsidRDefault="00373652" w:rsidP="001528FB">
            <w:pPr>
              <w:spacing w:before="61" w:after="61" w:line="240" w:lineRule="auto"/>
              <w:ind w:right="43"/>
              <w:jc w:val="right"/>
              <w:rPr>
                <w:i/>
                <w:sz w:val="14"/>
                <w:szCs w:val="14"/>
                <w:lang w:eastAsia="en-GB"/>
              </w:rPr>
            </w:pPr>
          </w:p>
        </w:tc>
        <w:tc>
          <w:tcPr>
            <w:tcW w:w="1221" w:type="dxa"/>
            <w:tcBorders>
              <w:bottom w:val="single" w:sz="4" w:space="0" w:color="auto"/>
            </w:tcBorders>
            <w:shd w:val="clear" w:color="auto" w:fill="auto"/>
            <w:vAlign w:val="bottom"/>
          </w:tcPr>
          <w:p w:rsidR="00373652" w:rsidRPr="00373652" w:rsidRDefault="00373652" w:rsidP="001528FB">
            <w:pPr>
              <w:spacing w:before="61" w:after="61" w:line="240" w:lineRule="auto"/>
              <w:ind w:right="43"/>
              <w:jc w:val="right"/>
              <w:rPr>
                <w:i/>
                <w:sz w:val="14"/>
                <w:szCs w:val="14"/>
                <w:lang w:eastAsia="en-GB"/>
              </w:rPr>
            </w:pPr>
            <w:r w:rsidRPr="00373652">
              <w:rPr>
                <w:i/>
                <w:sz w:val="14"/>
                <w:szCs w:val="14"/>
                <w:lang w:eastAsia="en-GB"/>
              </w:rPr>
              <w:t>1 July-</w:t>
            </w:r>
            <w:r>
              <w:rPr>
                <w:i/>
                <w:sz w:val="14"/>
                <w:szCs w:val="14"/>
                <w:lang w:eastAsia="en-GB"/>
              </w:rPr>
              <w:br/>
            </w:r>
            <w:r w:rsidR="001528FB">
              <w:rPr>
                <w:i/>
                <w:sz w:val="14"/>
                <w:szCs w:val="14"/>
                <w:lang w:eastAsia="en-GB"/>
              </w:rPr>
              <w:t xml:space="preserve">31 December </w:t>
            </w:r>
            <w:r w:rsidRPr="00373652">
              <w:rPr>
                <w:i/>
                <w:sz w:val="14"/>
                <w:szCs w:val="14"/>
                <w:lang w:eastAsia="en-GB"/>
              </w:rPr>
              <w:t>2016</w:t>
            </w:r>
          </w:p>
        </w:tc>
        <w:tc>
          <w:tcPr>
            <w:tcW w:w="1194" w:type="dxa"/>
            <w:tcBorders>
              <w:bottom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1 July-</w:t>
            </w:r>
            <w:r>
              <w:rPr>
                <w:i/>
                <w:sz w:val="14"/>
                <w:szCs w:val="14"/>
                <w:lang w:eastAsia="en-GB"/>
              </w:rPr>
              <w:br/>
            </w:r>
            <w:r w:rsidRPr="00373652">
              <w:rPr>
                <w:i/>
                <w:sz w:val="14"/>
                <w:szCs w:val="14"/>
                <w:lang w:eastAsia="en-GB"/>
              </w:rPr>
              <w:t>31 October 2016</w:t>
            </w:r>
          </w:p>
        </w:tc>
        <w:tc>
          <w:tcPr>
            <w:tcW w:w="1302" w:type="dxa"/>
            <w:tcBorders>
              <w:bottom w:val="single" w:sz="4" w:space="0" w:color="auto"/>
            </w:tcBorders>
            <w:shd w:val="clear" w:color="auto" w:fill="auto"/>
            <w:vAlign w:val="bottom"/>
          </w:tcPr>
          <w:p w:rsidR="00373652" w:rsidRPr="00373652" w:rsidRDefault="00373652" w:rsidP="001528FB">
            <w:pPr>
              <w:spacing w:before="61" w:after="61" w:line="240" w:lineRule="auto"/>
              <w:ind w:left="15" w:right="43"/>
              <w:jc w:val="right"/>
              <w:rPr>
                <w:i/>
                <w:sz w:val="14"/>
                <w:szCs w:val="14"/>
                <w:lang w:eastAsia="en-GB"/>
              </w:rPr>
            </w:pPr>
            <w:r w:rsidRPr="00373652">
              <w:rPr>
                <w:i/>
                <w:sz w:val="14"/>
                <w:szCs w:val="14"/>
                <w:lang w:eastAsia="en-GB"/>
              </w:rPr>
              <w:t>1 November 2016-</w:t>
            </w:r>
            <w:r w:rsidR="001528FB">
              <w:rPr>
                <w:i/>
                <w:sz w:val="14"/>
                <w:szCs w:val="14"/>
                <w:lang w:eastAsia="en-GB"/>
              </w:rPr>
              <w:br/>
            </w:r>
            <w:r w:rsidRPr="00373652">
              <w:rPr>
                <w:i/>
                <w:sz w:val="14"/>
                <w:szCs w:val="14"/>
                <w:lang w:eastAsia="en-GB"/>
              </w:rPr>
              <w:t>30 June 2017</w:t>
            </w:r>
          </w:p>
        </w:tc>
        <w:tc>
          <w:tcPr>
            <w:tcW w:w="1087" w:type="dxa"/>
            <w:tcBorders>
              <w:bottom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1 July 2016-</w:t>
            </w:r>
            <w:r>
              <w:rPr>
                <w:i/>
                <w:sz w:val="14"/>
                <w:szCs w:val="14"/>
                <w:lang w:eastAsia="en-GB"/>
              </w:rPr>
              <w:br/>
            </w:r>
            <w:r w:rsidRPr="00373652">
              <w:rPr>
                <w:i/>
                <w:sz w:val="14"/>
                <w:szCs w:val="14"/>
                <w:lang w:eastAsia="en-GB"/>
              </w:rPr>
              <w:t>30 June 2017</w:t>
            </w:r>
          </w:p>
        </w:tc>
        <w:tc>
          <w:tcPr>
            <w:tcW w:w="1195" w:type="dxa"/>
            <w:tcBorders>
              <w:bottom w:val="single" w:sz="4"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1 January-</w:t>
            </w:r>
            <w:r>
              <w:rPr>
                <w:i/>
                <w:sz w:val="14"/>
                <w:szCs w:val="14"/>
                <w:lang w:eastAsia="en-GB"/>
              </w:rPr>
              <w:br/>
            </w:r>
            <w:r w:rsidRPr="00373652">
              <w:rPr>
                <w:i/>
                <w:sz w:val="14"/>
                <w:szCs w:val="14"/>
                <w:lang w:eastAsia="en-GB"/>
              </w:rPr>
              <w:t>30 June 2017</w:t>
            </w:r>
          </w:p>
        </w:tc>
      </w:tr>
      <w:tr w:rsidR="00373652" w:rsidRPr="00373652" w:rsidTr="001528FB">
        <w:trPr>
          <w:tblHeader/>
        </w:trPr>
        <w:tc>
          <w:tcPr>
            <w:tcW w:w="2583" w:type="dxa"/>
            <w:tcBorders>
              <w:bottom w:val="single" w:sz="12" w:space="0" w:color="auto"/>
            </w:tcBorders>
            <w:shd w:val="clear" w:color="auto" w:fill="auto"/>
            <w:vAlign w:val="bottom"/>
          </w:tcPr>
          <w:p w:rsidR="00373652" w:rsidRPr="00373652" w:rsidRDefault="00373652" w:rsidP="001528FB">
            <w:pPr>
              <w:spacing w:before="61" w:after="61" w:line="240" w:lineRule="auto"/>
              <w:ind w:right="43"/>
              <w:rPr>
                <w:i/>
                <w:sz w:val="14"/>
                <w:szCs w:val="14"/>
                <w:lang w:eastAsia="en-GB"/>
              </w:rPr>
            </w:pPr>
            <w:r w:rsidRPr="00373652">
              <w:rPr>
                <w:i/>
                <w:sz w:val="14"/>
                <w:szCs w:val="14"/>
                <w:lang w:eastAsia="en-GB"/>
              </w:rPr>
              <w:t xml:space="preserve">Category </w:t>
            </w:r>
          </w:p>
        </w:tc>
        <w:tc>
          <w:tcPr>
            <w:tcW w:w="1221" w:type="dxa"/>
            <w:tcBorders>
              <w:top w:val="single" w:sz="4" w:space="0" w:color="auto"/>
              <w:bottom w:val="single" w:sz="12"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(1)</w:t>
            </w:r>
          </w:p>
        </w:tc>
        <w:tc>
          <w:tcPr>
            <w:tcW w:w="1194" w:type="dxa"/>
            <w:tcBorders>
              <w:top w:val="single" w:sz="4" w:space="0" w:color="auto"/>
              <w:bottom w:val="single" w:sz="12"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(2)</w:t>
            </w:r>
          </w:p>
        </w:tc>
        <w:tc>
          <w:tcPr>
            <w:tcW w:w="1302" w:type="dxa"/>
            <w:tcBorders>
              <w:top w:val="single" w:sz="4" w:space="0" w:color="auto"/>
              <w:bottom w:val="single" w:sz="12"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 xml:space="preserve">(3) </w:t>
            </w:r>
          </w:p>
        </w:tc>
        <w:tc>
          <w:tcPr>
            <w:tcW w:w="1087" w:type="dxa"/>
            <w:tcBorders>
              <w:top w:val="single" w:sz="4" w:space="0" w:color="auto"/>
              <w:bottom w:val="single" w:sz="12"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(4)</w:t>
            </w:r>
          </w:p>
        </w:tc>
        <w:tc>
          <w:tcPr>
            <w:tcW w:w="1195" w:type="dxa"/>
            <w:tcBorders>
              <w:top w:val="single" w:sz="4" w:space="0" w:color="auto"/>
              <w:bottom w:val="single" w:sz="12" w:space="0" w:color="auto"/>
            </w:tcBorders>
            <w:shd w:val="clear" w:color="auto" w:fill="auto"/>
            <w:vAlign w:val="bottom"/>
          </w:tcPr>
          <w:p w:rsidR="00373652" w:rsidRPr="00373652" w:rsidRDefault="00373652" w:rsidP="001528FB">
            <w:pPr>
              <w:spacing w:before="61" w:after="61" w:line="240" w:lineRule="auto"/>
              <w:ind w:left="27" w:right="43"/>
              <w:jc w:val="right"/>
              <w:rPr>
                <w:i/>
                <w:sz w:val="14"/>
                <w:szCs w:val="14"/>
                <w:lang w:eastAsia="en-GB"/>
              </w:rPr>
            </w:pPr>
            <w:r w:rsidRPr="00373652">
              <w:rPr>
                <w:i/>
                <w:sz w:val="14"/>
                <w:szCs w:val="14"/>
                <w:lang w:eastAsia="en-GB"/>
              </w:rPr>
              <w:t>(5) = (4</w:t>
            </w:r>
            <w:r>
              <w:rPr>
                <w:i/>
                <w:sz w:val="14"/>
                <w:szCs w:val="14"/>
                <w:lang w:eastAsia="en-GB"/>
              </w:rPr>
              <w:t>)-</w:t>
            </w:r>
            <w:r w:rsidRPr="00373652">
              <w:rPr>
                <w:i/>
                <w:sz w:val="14"/>
                <w:szCs w:val="14"/>
                <w:lang w:eastAsia="en-GB"/>
              </w:rPr>
              <w:t>(1)</w:t>
            </w:r>
          </w:p>
        </w:tc>
      </w:tr>
      <w:tr w:rsidR="00373652" w:rsidRPr="00373652" w:rsidTr="001528FB">
        <w:trPr>
          <w:trHeight w:hRule="exact" w:val="115"/>
          <w:tblHeader/>
        </w:trPr>
        <w:tc>
          <w:tcPr>
            <w:tcW w:w="2583" w:type="dxa"/>
            <w:tcBorders>
              <w:top w:val="single" w:sz="12" w:space="0" w:color="auto"/>
            </w:tcBorders>
            <w:shd w:val="clear" w:color="auto" w:fill="auto"/>
            <w:vAlign w:val="bottom"/>
          </w:tcPr>
          <w:p w:rsidR="00373652" w:rsidRPr="00373652" w:rsidRDefault="00373652" w:rsidP="00373652">
            <w:pPr>
              <w:spacing w:before="40" w:after="40" w:line="210" w:lineRule="exact"/>
              <w:ind w:right="40"/>
              <w:rPr>
                <w:b/>
                <w:bCs/>
                <w:sz w:val="17"/>
                <w:szCs w:val="17"/>
                <w:lang w:eastAsia="en-GB"/>
              </w:rPr>
            </w:pPr>
          </w:p>
        </w:tc>
        <w:tc>
          <w:tcPr>
            <w:tcW w:w="1221" w:type="dxa"/>
            <w:tcBorders>
              <w:top w:val="single" w:sz="12" w:space="0" w:color="auto"/>
            </w:tcBorders>
            <w:shd w:val="clear" w:color="auto" w:fill="auto"/>
            <w:vAlign w:val="bottom"/>
          </w:tcPr>
          <w:p w:rsidR="00373652" w:rsidRPr="00373652" w:rsidRDefault="00373652" w:rsidP="00373652">
            <w:pPr>
              <w:spacing w:before="40" w:after="40" w:line="210" w:lineRule="exact"/>
              <w:ind w:left="27" w:right="40"/>
              <w:jc w:val="right"/>
              <w:rPr>
                <w:sz w:val="17"/>
                <w:szCs w:val="17"/>
                <w:lang w:eastAsia="en-GB"/>
              </w:rPr>
            </w:pPr>
          </w:p>
        </w:tc>
        <w:tc>
          <w:tcPr>
            <w:tcW w:w="1194" w:type="dxa"/>
            <w:tcBorders>
              <w:top w:val="single" w:sz="12" w:space="0" w:color="auto"/>
            </w:tcBorders>
            <w:shd w:val="clear" w:color="auto" w:fill="auto"/>
            <w:vAlign w:val="bottom"/>
          </w:tcPr>
          <w:p w:rsidR="00373652" w:rsidRPr="00373652" w:rsidRDefault="00373652" w:rsidP="00373652">
            <w:pPr>
              <w:spacing w:before="40" w:after="40" w:line="210" w:lineRule="exact"/>
              <w:ind w:left="27" w:right="40"/>
              <w:jc w:val="right"/>
              <w:rPr>
                <w:sz w:val="17"/>
                <w:szCs w:val="17"/>
                <w:lang w:eastAsia="en-GB"/>
              </w:rPr>
            </w:pPr>
          </w:p>
        </w:tc>
        <w:tc>
          <w:tcPr>
            <w:tcW w:w="1302" w:type="dxa"/>
            <w:tcBorders>
              <w:top w:val="single" w:sz="12" w:space="0" w:color="auto"/>
            </w:tcBorders>
            <w:shd w:val="clear" w:color="auto" w:fill="auto"/>
            <w:vAlign w:val="bottom"/>
          </w:tcPr>
          <w:p w:rsidR="00373652" w:rsidRPr="00373652" w:rsidRDefault="00373652" w:rsidP="00373652">
            <w:pPr>
              <w:spacing w:before="40" w:after="40" w:line="210" w:lineRule="exact"/>
              <w:ind w:left="27" w:right="40"/>
              <w:jc w:val="right"/>
              <w:rPr>
                <w:sz w:val="17"/>
                <w:szCs w:val="17"/>
                <w:lang w:eastAsia="en-GB"/>
              </w:rPr>
            </w:pPr>
          </w:p>
        </w:tc>
        <w:tc>
          <w:tcPr>
            <w:tcW w:w="1087" w:type="dxa"/>
            <w:tcBorders>
              <w:top w:val="single" w:sz="12" w:space="0" w:color="auto"/>
            </w:tcBorders>
            <w:shd w:val="clear" w:color="auto" w:fill="auto"/>
            <w:vAlign w:val="bottom"/>
          </w:tcPr>
          <w:p w:rsidR="00373652" w:rsidRPr="00373652" w:rsidRDefault="00373652" w:rsidP="00373652">
            <w:pPr>
              <w:spacing w:before="40" w:after="40" w:line="210" w:lineRule="exact"/>
              <w:ind w:left="27" w:right="40"/>
              <w:jc w:val="right"/>
              <w:rPr>
                <w:sz w:val="17"/>
                <w:szCs w:val="17"/>
                <w:lang w:eastAsia="en-GB"/>
              </w:rPr>
            </w:pPr>
          </w:p>
        </w:tc>
        <w:tc>
          <w:tcPr>
            <w:tcW w:w="1195" w:type="dxa"/>
            <w:tcBorders>
              <w:top w:val="single" w:sz="12" w:space="0" w:color="auto"/>
            </w:tcBorders>
            <w:shd w:val="clear" w:color="auto" w:fill="auto"/>
            <w:vAlign w:val="bottom"/>
          </w:tcPr>
          <w:p w:rsidR="00373652" w:rsidRPr="00373652" w:rsidRDefault="00373652" w:rsidP="00373652">
            <w:pPr>
              <w:spacing w:before="40" w:after="40" w:line="210" w:lineRule="exact"/>
              <w:ind w:left="27" w:right="40"/>
              <w:jc w:val="right"/>
              <w:rPr>
                <w:sz w:val="17"/>
                <w:szCs w:val="17"/>
                <w:lang w:eastAsia="en-GB"/>
              </w:rPr>
            </w:pPr>
          </w:p>
        </w:tc>
      </w:tr>
      <w:tr w:rsidR="00373652" w:rsidRPr="00373652" w:rsidTr="001528FB">
        <w:tc>
          <w:tcPr>
            <w:tcW w:w="2583" w:type="dxa"/>
            <w:shd w:val="clear" w:color="auto" w:fill="auto"/>
            <w:vAlign w:val="bottom"/>
          </w:tcPr>
          <w:p w:rsidR="00373652" w:rsidRPr="00373652" w:rsidRDefault="00373652" w:rsidP="001528FB">
            <w:pPr>
              <w:tabs>
                <w:tab w:val="left" w:pos="288"/>
                <w:tab w:val="left" w:pos="576"/>
                <w:tab w:val="left" w:pos="864"/>
                <w:tab w:val="left" w:pos="1152"/>
              </w:tabs>
              <w:spacing w:line="240" w:lineRule="auto"/>
              <w:ind w:right="43"/>
              <w:rPr>
                <w:b/>
                <w:bCs/>
                <w:sz w:val="17"/>
                <w:szCs w:val="17"/>
                <w:lang w:eastAsia="en-GB"/>
              </w:rPr>
            </w:pPr>
            <w:r w:rsidRPr="00373652">
              <w:rPr>
                <w:b/>
                <w:bCs/>
                <w:sz w:val="17"/>
                <w:szCs w:val="17"/>
                <w:lang w:eastAsia="en-GB"/>
              </w:rPr>
              <w:t>Military and police personnel</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line="240" w:lineRule="auto"/>
              <w:ind w:left="27" w:right="43"/>
              <w:jc w:val="right"/>
              <w:rPr>
                <w:sz w:val="17"/>
                <w:szCs w:val="17"/>
                <w:lang w:eastAsia="en-GB"/>
              </w:rPr>
            </w:pP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line="240" w:lineRule="auto"/>
              <w:ind w:left="27" w:right="43"/>
              <w:jc w:val="right"/>
              <w:rPr>
                <w:sz w:val="17"/>
                <w:szCs w:val="17"/>
                <w:lang w:eastAsia="en-GB"/>
              </w:rPr>
            </w:pP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line="240" w:lineRule="auto"/>
              <w:ind w:left="27" w:right="43"/>
              <w:jc w:val="right"/>
              <w:rPr>
                <w:sz w:val="17"/>
                <w:szCs w:val="17"/>
                <w:lang w:eastAsia="en-GB"/>
              </w:rPr>
            </w:pP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line="240" w:lineRule="auto"/>
              <w:ind w:left="27" w:right="43"/>
              <w:jc w:val="right"/>
              <w:rPr>
                <w:sz w:val="17"/>
                <w:szCs w:val="17"/>
                <w:lang w:eastAsia="en-GB"/>
              </w:rPr>
            </w:pP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line="240" w:lineRule="auto"/>
              <w:ind w:left="27" w:right="43"/>
              <w:jc w:val="right"/>
              <w:rPr>
                <w:sz w:val="17"/>
                <w:szCs w:val="17"/>
                <w:lang w:eastAsia="en-GB"/>
              </w:rPr>
            </w:pP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Military observers</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4 111.9</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1 751.5</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1 433.7</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3 185.2</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(926.7)</w:t>
            </w: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Military contingents</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52 138.5</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41 313.3</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5 915.4</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47 228.7</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(4 909.8)</w:t>
            </w: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United Nations police</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10 066.6</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4 384.2</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4 421.8</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8 806.0</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(1 260.6)</w:t>
            </w:r>
          </w:p>
        </w:tc>
      </w:tr>
      <w:tr w:rsidR="00373652" w:rsidRPr="00373652" w:rsidTr="001528FB">
        <w:tc>
          <w:tcPr>
            <w:tcW w:w="2583" w:type="dxa"/>
            <w:tcBorders>
              <w:bottom w:val="single" w:sz="4" w:space="0" w:color="auto"/>
            </w:tcBorders>
            <w:shd w:val="clear" w:color="auto" w:fill="auto"/>
            <w:vAlign w:val="bottom"/>
          </w:tcPr>
          <w:p w:rsidR="00373652" w:rsidRPr="00373652" w:rsidRDefault="003A7309" w:rsidP="003A7309">
            <w:pPr>
              <w:tabs>
                <w:tab w:val="left" w:pos="288"/>
                <w:tab w:val="left" w:pos="576"/>
                <w:tab w:val="left" w:pos="864"/>
                <w:tab w:val="left" w:pos="1152"/>
              </w:tabs>
              <w:spacing w:before="20" w:after="81" w:line="240" w:lineRule="auto"/>
              <w:ind w:right="40"/>
              <w:rPr>
                <w:sz w:val="17"/>
                <w:szCs w:val="17"/>
                <w:lang w:eastAsia="en-GB"/>
              </w:rPr>
            </w:pPr>
            <w:r>
              <w:rPr>
                <w:sz w:val="17"/>
                <w:szCs w:val="17"/>
                <w:lang w:eastAsia="en-GB"/>
              </w:rPr>
              <w:tab/>
            </w:r>
            <w:r w:rsidR="00373652" w:rsidRPr="00373652">
              <w:rPr>
                <w:sz w:val="17"/>
                <w:szCs w:val="17"/>
                <w:lang w:eastAsia="en-GB"/>
              </w:rPr>
              <w:t>Formed police units</w:t>
            </w:r>
          </w:p>
        </w:tc>
        <w:tc>
          <w:tcPr>
            <w:tcW w:w="1221"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13 010.0</w:t>
            </w:r>
          </w:p>
        </w:tc>
        <w:tc>
          <w:tcPr>
            <w:tcW w:w="1194"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6 991.5</w:t>
            </w:r>
          </w:p>
        </w:tc>
        <w:tc>
          <w:tcPr>
            <w:tcW w:w="1302"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2 710.8</w:t>
            </w:r>
          </w:p>
        </w:tc>
        <w:tc>
          <w:tcPr>
            <w:tcW w:w="1087"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9 702.3</w:t>
            </w:r>
          </w:p>
        </w:tc>
        <w:tc>
          <w:tcPr>
            <w:tcW w:w="1195"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(3 307.7)</w:t>
            </w:r>
          </w:p>
        </w:tc>
      </w:tr>
      <w:tr w:rsidR="00373652" w:rsidRPr="003A7309" w:rsidTr="001528FB">
        <w:tc>
          <w:tcPr>
            <w:tcW w:w="2583" w:type="dxa"/>
            <w:tcBorders>
              <w:top w:val="single" w:sz="4" w:space="0" w:color="auto"/>
              <w:bottom w:val="single" w:sz="4" w:space="0" w:color="auto"/>
            </w:tcBorders>
            <w:shd w:val="clear" w:color="auto" w:fill="auto"/>
            <w:vAlign w:val="bottom"/>
          </w:tcPr>
          <w:p w:rsidR="00373652" w:rsidRPr="003A7309" w:rsidRDefault="003A7309" w:rsidP="003A7309">
            <w:pPr>
              <w:tabs>
                <w:tab w:val="left" w:pos="288"/>
                <w:tab w:val="left" w:pos="576"/>
                <w:tab w:val="left" w:pos="864"/>
                <w:tab w:val="left" w:pos="1152"/>
              </w:tabs>
              <w:spacing w:before="61" w:after="81" w:line="240" w:lineRule="auto"/>
              <w:ind w:right="43"/>
              <w:rPr>
                <w:b/>
                <w:bCs/>
                <w:sz w:val="17"/>
                <w:szCs w:val="17"/>
                <w:lang w:eastAsia="en-GB"/>
              </w:rPr>
            </w:pPr>
            <w:r w:rsidRPr="003A7309">
              <w:rPr>
                <w:b/>
                <w:bCs/>
                <w:sz w:val="17"/>
                <w:szCs w:val="17"/>
                <w:lang w:eastAsia="en-GB"/>
              </w:rPr>
              <w:tab/>
            </w:r>
            <w:r w:rsidR="00373652" w:rsidRPr="003A7309">
              <w:rPr>
                <w:b/>
                <w:bCs/>
                <w:sz w:val="17"/>
                <w:szCs w:val="17"/>
                <w:lang w:eastAsia="en-GB"/>
              </w:rPr>
              <w:t>Subtotal</w:t>
            </w:r>
          </w:p>
        </w:tc>
        <w:tc>
          <w:tcPr>
            <w:tcW w:w="1221" w:type="dxa"/>
            <w:tcBorders>
              <w:top w:val="single" w:sz="4" w:space="0" w:color="auto"/>
              <w:bottom w:val="single" w:sz="4" w:space="0" w:color="auto"/>
            </w:tcBorders>
            <w:shd w:val="clear" w:color="auto" w:fill="auto"/>
            <w:vAlign w:val="bottom"/>
          </w:tcPr>
          <w:p w:rsidR="00373652" w:rsidRPr="003A7309" w:rsidRDefault="00373652" w:rsidP="003A7309">
            <w:pPr>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79 327.0</w:t>
            </w:r>
          </w:p>
        </w:tc>
        <w:tc>
          <w:tcPr>
            <w:tcW w:w="1194" w:type="dxa"/>
            <w:tcBorders>
              <w:top w:val="single" w:sz="4" w:space="0" w:color="auto"/>
              <w:bottom w:val="single" w:sz="4" w:space="0" w:color="auto"/>
            </w:tcBorders>
            <w:shd w:val="clear" w:color="auto" w:fill="auto"/>
            <w:vAlign w:val="bottom"/>
          </w:tcPr>
          <w:p w:rsidR="00373652" w:rsidRPr="003A7309" w:rsidRDefault="00373652" w:rsidP="003A7309">
            <w:pPr>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54 440.5</w:t>
            </w:r>
          </w:p>
        </w:tc>
        <w:tc>
          <w:tcPr>
            <w:tcW w:w="1302" w:type="dxa"/>
            <w:tcBorders>
              <w:top w:val="single" w:sz="4" w:space="0" w:color="auto"/>
              <w:bottom w:val="single" w:sz="4" w:space="0" w:color="auto"/>
            </w:tcBorders>
            <w:shd w:val="clear" w:color="auto" w:fill="auto"/>
            <w:vAlign w:val="bottom"/>
          </w:tcPr>
          <w:p w:rsidR="00373652" w:rsidRPr="003A7309" w:rsidRDefault="00373652" w:rsidP="003A7309">
            <w:pPr>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14 481.7</w:t>
            </w:r>
          </w:p>
        </w:tc>
        <w:tc>
          <w:tcPr>
            <w:tcW w:w="1087" w:type="dxa"/>
            <w:tcBorders>
              <w:top w:val="single" w:sz="4" w:space="0" w:color="auto"/>
              <w:bottom w:val="single" w:sz="4" w:space="0" w:color="auto"/>
            </w:tcBorders>
            <w:shd w:val="clear" w:color="auto" w:fill="auto"/>
            <w:vAlign w:val="bottom"/>
          </w:tcPr>
          <w:p w:rsidR="00373652" w:rsidRPr="003A7309" w:rsidRDefault="00373652" w:rsidP="003A7309">
            <w:pPr>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68 922.2</w:t>
            </w:r>
          </w:p>
        </w:tc>
        <w:tc>
          <w:tcPr>
            <w:tcW w:w="1195" w:type="dxa"/>
            <w:tcBorders>
              <w:top w:val="single" w:sz="4" w:space="0" w:color="auto"/>
              <w:bottom w:val="single" w:sz="4" w:space="0" w:color="auto"/>
            </w:tcBorders>
            <w:shd w:val="clear" w:color="auto" w:fill="auto"/>
            <w:vAlign w:val="bottom"/>
          </w:tcPr>
          <w:p w:rsidR="00373652" w:rsidRPr="003A7309" w:rsidRDefault="00373652" w:rsidP="003A7309">
            <w:pPr>
              <w:tabs>
                <w:tab w:val="left" w:pos="288"/>
                <w:tab w:val="left" w:pos="576"/>
                <w:tab w:val="left" w:pos="864"/>
                <w:tab w:val="left" w:pos="1152"/>
              </w:tabs>
              <w:spacing w:before="61" w:after="81" w:line="240" w:lineRule="auto"/>
              <w:ind w:left="27" w:right="43"/>
              <w:jc w:val="right"/>
              <w:rPr>
                <w:b/>
                <w:bCs/>
                <w:sz w:val="17"/>
                <w:szCs w:val="17"/>
                <w:lang w:eastAsia="en-GB"/>
              </w:rPr>
            </w:pPr>
            <w:r w:rsidRPr="003A7309">
              <w:rPr>
                <w:b/>
                <w:bCs/>
                <w:sz w:val="17"/>
                <w:szCs w:val="17"/>
                <w:lang w:eastAsia="en-GB"/>
              </w:rPr>
              <w:t>(10 404.8)</w:t>
            </w:r>
          </w:p>
        </w:tc>
      </w:tr>
      <w:tr w:rsidR="00373652" w:rsidRPr="00373652" w:rsidTr="001528FB">
        <w:tc>
          <w:tcPr>
            <w:tcW w:w="2583"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right="43"/>
              <w:rPr>
                <w:b/>
                <w:bCs/>
                <w:sz w:val="17"/>
                <w:szCs w:val="17"/>
                <w:lang w:eastAsia="en-GB"/>
              </w:rPr>
            </w:pPr>
            <w:r w:rsidRPr="00373652">
              <w:rPr>
                <w:b/>
                <w:bCs/>
                <w:sz w:val="17"/>
                <w:szCs w:val="17"/>
                <w:lang w:eastAsia="en-GB"/>
              </w:rPr>
              <w:t>Civilian personnel</w:t>
            </w:r>
          </w:p>
        </w:tc>
        <w:tc>
          <w:tcPr>
            <w:tcW w:w="1221" w:type="dxa"/>
            <w:tcBorders>
              <w:top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81" w:after="20" w:line="240" w:lineRule="auto"/>
              <w:ind w:left="27" w:right="40"/>
              <w:jc w:val="right"/>
              <w:rPr>
                <w:sz w:val="17"/>
                <w:szCs w:val="17"/>
                <w:lang w:eastAsia="en-GB"/>
              </w:rPr>
            </w:pPr>
          </w:p>
        </w:tc>
        <w:tc>
          <w:tcPr>
            <w:tcW w:w="1194" w:type="dxa"/>
            <w:tcBorders>
              <w:top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81" w:after="20" w:line="240" w:lineRule="auto"/>
              <w:ind w:left="27" w:right="40"/>
              <w:jc w:val="right"/>
              <w:rPr>
                <w:sz w:val="17"/>
                <w:szCs w:val="17"/>
                <w:lang w:eastAsia="en-GB"/>
              </w:rPr>
            </w:pPr>
          </w:p>
        </w:tc>
        <w:tc>
          <w:tcPr>
            <w:tcW w:w="1302" w:type="dxa"/>
            <w:tcBorders>
              <w:top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81" w:after="20" w:line="240" w:lineRule="auto"/>
              <w:ind w:left="27" w:right="40"/>
              <w:jc w:val="right"/>
              <w:rPr>
                <w:sz w:val="17"/>
                <w:szCs w:val="17"/>
                <w:lang w:eastAsia="en-GB"/>
              </w:rPr>
            </w:pPr>
          </w:p>
        </w:tc>
        <w:tc>
          <w:tcPr>
            <w:tcW w:w="1087" w:type="dxa"/>
            <w:tcBorders>
              <w:top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81" w:after="20" w:line="240" w:lineRule="auto"/>
              <w:ind w:left="27" w:right="40"/>
              <w:jc w:val="right"/>
              <w:rPr>
                <w:sz w:val="17"/>
                <w:szCs w:val="17"/>
                <w:lang w:eastAsia="en-GB"/>
              </w:rPr>
            </w:pPr>
          </w:p>
        </w:tc>
        <w:tc>
          <w:tcPr>
            <w:tcW w:w="1195" w:type="dxa"/>
            <w:tcBorders>
              <w:top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81" w:after="20" w:line="240" w:lineRule="auto"/>
              <w:ind w:left="27" w:right="40"/>
              <w:jc w:val="right"/>
              <w:rPr>
                <w:sz w:val="17"/>
                <w:szCs w:val="17"/>
                <w:lang w:eastAsia="en-GB"/>
              </w:rPr>
            </w:pP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 xml:space="preserve">International staff </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21 868.5</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15 619.1</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18 768.8</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34 387.9</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12 519.4</w:t>
            </w: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National staff</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9 315.6</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5 637.3</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5 206.7</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10 844.0</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1 528.4</w:t>
            </w: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United Nations Volunteers</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2 723.6</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678.9</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1 592.7</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2 271.6</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(452.0)</w:t>
            </w:r>
          </w:p>
        </w:tc>
      </w:tr>
      <w:tr w:rsidR="00373652" w:rsidRPr="00373652" w:rsidTr="001528FB">
        <w:tc>
          <w:tcPr>
            <w:tcW w:w="2583" w:type="dxa"/>
            <w:shd w:val="clear" w:color="auto" w:fill="auto"/>
            <w:vAlign w:val="bottom"/>
          </w:tcPr>
          <w:p w:rsidR="00373652" w:rsidRPr="00373652" w:rsidRDefault="003A7309" w:rsidP="003A7309">
            <w:pPr>
              <w:tabs>
                <w:tab w:val="left" w:pos="288"/>
                <w:tab w:val="left" w:pos="576"/>
                <w:tab w:val="left" w:pos="864"/>
                <w:tab w:val="left" w:pos="1152"/>
              </w:tabs>
              <w:spacing w:before="20" w:after="20" w:line="240" w:lineRule="auto"/>
              <w:ind w:left="288" w:right="40" w:hanging="288"/>
              <w:rPr>
                <w:sz w:val="17"/>
                <w:szCs w:val="17"/>
                <w:lang w:eastAsia="en-GB"/>
              </w:rPr>
            </w:pPr>
            <w:r>
              <w:rPr>
                <w:sz w:val="17"/>
                <w:szCs w:val="17"/>
                <w:lang w:eastAsia="en-GB"/>
              </w:rPr>
              <w:tab/>
            </w:r>
            <w:r w:rsidR="00373652" w:rsidRPr="00373652">
              <w:rPr>
                <w:sz w:val="17"/>
                <w:szCs w:val="17"/>
                <w:lang w:eastAsia="en-GB"/>
              </w:rPr>
              <w:t>General temporary assistance</w:t>
            </w:r>
          </w:p>
        </w:tc>
        <w:tc>
          <w:tcPr>
            <w:tcW w:w="1221"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4"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(0.2)</w:t>
            </w:r>
          </w:p>
        </w:tc>
        <w:tc>
          <w:tcPr>
            <w:tcW w:w="1302"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0.2</w:t>
            </w:r>
          </w:p>
        </w:tc>
        <w:tc>
          <w:tcPr>
            <w:tcW w:w="1087"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5" w:type="dxa"/>
            <w:shd w:val="clear" w:color="auto" w:fill="auto"/>
            <w:vAlign w:val="bottom"/>
          </w:tcPr>
          <w:p w:rsidR="00373652" w:rsidRPr="00373652" w:rsidRDefault="00373652" w:rsidP="003A7309">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r>
      <w:tr w:rsidR="00373652" w:rsidRPr="00373652" w:rsidTr="001528FB">
        <w:tc>
          <w:tcPr>
            <w:tcW w:w="2583" w:type="dxa"/>
            <w:tcBorders>
              <w:bottom w:val="single" w:sz="4" w:space="0" w:color="auto"/>
            </w:tcBorders>
            <w:shd w:val="clear" w:color="auto" w:fill="auto"/>
            <w:vAlign w:val="bottom"/>
          </w:tcPr>
          <w:p w:rsidR="00373652" w:rsidRPr="001528FB" w:rsidRDefault="003A7309" w:rsidP="003A7309">
            <w:pPr>
              <w:tabs>
                <w:tab w:val="left" w:pos="288"/>
                <w:tab w:val="left" w:pos="576"/>
                <w:tab w:val="left" w:pos="864"/>
                <w:tab w:val="left" w:pos="1152"/>
              </w:tabs>
              <w:spacing w:before="20" w:after="81" w:line="240" w:lineRule="auto"/>
              <w:ind w:left="288" w:right="40" w:hanging="288"/>
              <w:rPr>
                <w:spacing w:val="0"/>
                <w:w w:val="100"/>
                <w:sz w:val="17"/>
                <w:szCs w:val="17"/>
                <w:lang w:eastAsia="en-GB"/>
              </w:rPr>
            </w:pPr>
            <w:r>
              <w:rPr>
                <w:sz w:val="17"/>
                <w:szCs w:val="17"/>
                <w:lang w:eastAsia="en-GB"/>
              </w:rPr>
              <w:tab/>
            </w:r>
            <w:r w:rsidR="00373652" w:rsidRPr="001528FB">
              <w:rPr>
                <w:spacing w:val="0"/>
                <w:w w:val="100"/>
                <w:sz w:val="17"/>
                <w:szCs w:val="17"/>
                <w:lang w:eastAsia="en-GB"/>
              </w:rPr>
              <w:t>Government-provided personnel</w:t>
            </w:r>
          </w:p>
        </w:tc>
        <w:tc>
          <w:tcPr>
            <w:tcW w:w="1221"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169.6</w:t>
            </w:r>
          </w:p>
        </w:tc>
        <w:tc>
          <w:tcPr>
            <w:tcW w:w="1194"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41.4</w:t>
            </w:r>
          </w:p>
        </w:tc>
        <w:tc>
          <w:tcPr>
            <w:tcW w:w="1302"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6.5</w:t>
            </w:r>
          </w:p>
        </w:tc>
        <w:tc>
          <w:tcPr>
            <w:tcW w:w="1087"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47.9</w:t>
            </w:r>
          </w:p>
        </w:tc>
        <w:tc>
          <w:tcPr>
            <w:tcW w:w="1195" w:type="dxa"/>
            <w:tcBorders>
              <w:bottom w:val="single" w:sz="4" w:space="0" w:color="auto"/>
            </w:tcBorders>
            <w:shd w:val="clear" w:color="auto" w:fill="auto"/>
            <w:vAlign w:val="bottom"/>
          </w:tcPr>
          <w:p w:rsidR="00373652" w:rsidRPr="00373652" w:rsidRDefault="00373652" w:rsidP="003A7309">
            <w:pPr>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(121.7)</w:t>
            </w:r>
          </w:p>
        </w:tc>
      </w:tr>
      <w:tr w:rsidR="00373652" w:rsidRPr="003A7309" w:rsidTr="001528FB">
        <w:tc>
          <w:tcPr>
            <w:tcW w:w="2583" w:type="dxa"/>
            <w:tcBorders>
              <w:top w:val="single" w:sz="4" w:space="0" w:color="auto"/>
              <w:bottom w:val="single" w:sz="4" w:space="0" w:color="auto"/>
            </w:tcBorders>
            <w:shd w:val="clear" w:color="auto" w:fill="auto"/>
            <w:vAlign w:val="bottom"/>
          </w:tcPr>
          <w:p w:rsidR="00373652" w:rsidRPr="003A7309" w:rsidRDefault="003A7309" w:rsidP="00E731AF">
            <w:pPr>
              <w:tabs>
                <w:tab w:val="left" w:pos="288"/>
                <w:tab w:val="left" w:pos="576"/>
                <w:tab w:val="left" w:pos="864"/>
                <w:tab w:val="left" w:pos="1152"/>
              </w:tabs>
              <w:spacing w:before="81" w:after="81" w:line="240" w:lineRule="auto"/>
              <w:ind w:right="43"/>
              <w:rPr>
                <w:b/>
                <w:bCs/>
                <w:sz w:val="17"/>
                <w:szCs w:val="17"/>
                <w:lang w:eastAsia="en-GB"/>
              </w:rPr>
            </w:pPr>
            <w:r w:rsidRPr="003A7309">
              <w:rPr>
                <w:b/>
                <w:bCs/>
                <w:sz w:val="17"/>
                <w:szCs w:val="17"/>
                <w:lang w:eastAsia="en-GB"/>
              </w:rPr>
              <w:tab/>
            </w:r>
            <w:r w:rsidR="00373652" w:rsidRPr="003A7309">
              <w:rPr>
                <w:b/>
                <w:bCs/>
                <w:sz w:val="17"/>
                <w:szCs w:val="17"/>
                <w:lang w:eastAsia="en-GB"/>
              </w:rPr>
              <w:t>Subtotal</w:t>
            </w:r>
          </w:p>
        </w:tc>
        <w:tc>
          <w:tcPr>
            <w:tcW w:w="1221" w:type="dxa"/>
            <w:tcBorders>
              <w:top w:val="single" w:sz="4" w:space="0" w:color="auto"/>
              <w:bottom w:val="single" w:sz="4" w:space="0" w:color="auto"/>
            </w:tcBorders>
            <w:shd w:val="clear" w:color="auto" w:fill="auto"/>
            <w:vAlign w:val="bottom"/>
          </w:tcPr>
          <w:p w:rsidR="00373652" w:rsidRPr="003A7309" w:rsidRDefault="00373652" w:rsidP="00E731AF">
            <w:pPr>
              <w:tabs>
                <w:tab w:val="left" w:pos="288"/>
                <w:tab w:val="left" w:pos="576"/>
                <w:tab w:val="left" w:pos="864"/>
                <w:tab w:val="left" w:pos="1152"/>
              </w:tabs>
              <w:spacing w:before="81" w:after="81" w:line="240" w:lineRule="auto"/>
              <w:ind w:left="27" w:right="43" w:firstLineChars="100" w:firstLine="180"/>
              <w:jc w:val="right"/>
              <w:rPr>
                <w:b/>
                <w:bCs/>
                <w:sz w:val="17"/>
                <w:szCs w:val="17"/>
                <w:lang w:eastAsia="en-GB"/>
              </w:rPr>
            </w:pPr>
            <w:r w:rsidRPr="003A7309">
              <w:rPr>
                <w:b/>
                <w:bCs/>
                <w:sz w:val="17"/>
                <w:szCs w:val="17"/>
                <w:lang w:eastAsia="en-GB"/>
              </w:rPr>
              <w:t>34 077.3</w:t>
            </w:r>
          </w:p>
        </w:tc>
        <w:tc>
          <w:tcPr>
            <w:tcW w:w="1194" w:type="dxa"/>
            <w:tcBorders>
              <w:top w:val="single" w:sz="4" w:space="0" w:color="auto"/>
              <w:bottom w:val="single" w:sz="4" w:space="0" w:color="auto"/>
            </w:tcBorders>
            <w:shd w:val="clear" w:color="auto" w:fill="auto"/>
            <w:vAlign w:val="bottom"/>
          </w:tcPr>
          <w:p w:rsidR="00373652" w:rsidRPr="003A7309" w:rsidRDefault="00373652" w:rsidP="00E731AF">
            <w:pPr>
              <w:tabs>
                <w:tab w:val="left" w:pos="288"/>
                <w:tab w:val="left" w:pos="576"/>
                <w:tab w:val="left" w:pos="864"/>
                <w:tab w:val="left" w:pos="1152"/>
              </w:tabs>
              <w:spacing w:before="81" w:after="81" w:line="240" w:lineRule="auto"/>
              <w:ind w:left="27" w:right="43" w:firstLineChars="100" w:firstLine="180"/>
              <w:jc w:val="right"/>
              <w:rPr>
                <w:b/>
                <w:bCs/>
                <w:sz w:val="17"/>
                <w:szCs w:val="17"/>
                <w:lang w:eastAsia="en-GB"/>
              </w:rPr>
            </w:pPr>
            <w:r w:rsidRPr="003A7309">
              <w:rPr>
                <w:b/>
                <w:bCs/>
                <w:sz w:val="17"/>
                <w:szCs w:val="17"/>
                <w:lang w:eastAsia="en-GB"/>
              </w:rPr>
              <w:t>21 976.5</w:t>
            </w:r>
          </w:p>
        </w:tc>
        <w:tc>
          <w:tcPr>
            <w:tcW w:w="1302" w:type="dxa"/>
            <w:tcBorders>
              <w:top w:val="single" w:sz="4" w:space="0" w:color="auto"/>
              <w:bottom w:val="single" w:sz="4" w:space="0" w:color="auto"/>
            </w:tcBorders>
            <w:shd w:val="clear" w:color="auto" w:fill="auto"/>
            <w:vAlign w:val="bottom"/>
          </w:tcPr>
          <w:p w:rsidR="00373652" w:rsidRPr="003A7309" w:rsidRDefault="00373652" w:rsidP="00E731AF">
            <w:pPr>
              <w:tabs>
                <w:tab w:val="left" w:pos="288"/>
                <w:tab w:val="left" w:pos="576"/>
                <w:tab w:val="left" w:pos="864"/>
                <w:tab w:val="left" w:pos="1152"/>
              </w:tabs>
              <w:spacing w:before="81" w:after="81" w:line="240" w:lineRule="auto"/>
              <w:ind w:left="27" w:right="43" w:firstLineChars="100" w:firstLine="180"/>
              <w:jc w:val="right"/>
              <w:rPr>
                <w:b/>
                <w:bCs/>
                <w:sz w:val="17"/>
                <w:szCs w:val="17"/>
                <w:lang w:eastAsia="en-GB"/>
              </w:rPr>
            </w:pPr>
            <w:r w:rsidRPr="003A7309">
              <w:rPr>
                <w:b/>
                <w:bCs/>
                <w:sz w:val="17"/>
                <w:szCs w:val="17"/>
                <w:lang w:eastAsia="en-GB"/>
              </w:rPr>
              <w:t>25 574.9</w:t>
            </w:r>
          </w:p>
        </w:tc>
        <w:tc>
          <w:tcPr>
            <w:tcW w:w="1087" w:type="dxa"/>
            <w:tcBorders>
              <w:top w:val="single" w:sz="4" w:space="0" w:color="auto"/>
              <w:bottom w:val="single" w:sz="4" w:space="0" w:color="auto"/>
            </w:tcBorders>
            <w:shd w:val="clear" w:color="auto" w:fill="auto"/>
            <w:vAlign w:val="bottom"/>
          </w:tcPr>
          <w:p w:rsidR="00373652" w:rsidRPr="003A7309" w:rsidRDefault="00373652" w:rsidP="00E731AF">
            <w:pPr>
              <w:tabs>
                <w:tab w:val="left" w:pos="288"/>
                <w:tab w:val="left" w:pos="576"/>
                <w:tab w:val="left" w:pos="864"/>
                <w:tab w:val="left" w:pos="1152"/>
              </w:tabs>
              <w:spacing w:before="81" w:after="81" w:line="240" w:lineRule="auto"/>
              <w:ind w:left="27" w:right="43" w:firstLineChars="100" w:firstLine="180"/>
              <w:jc w:val="right"/>
              <w:rPr>
                <w:b/>
                <w:bCs/>
                <w:sz w:val="17"/>
                <w:szCs w:val="17"/>
                <w:lang w:eastAsia="en-GB"/>
              </w:rPr>
            </w:pPr>
            <w:r w:rsidRPr="003A7309">
              <w:rPr>
                <w:b/>
                <w:bCs/>
                <w:sz w:val="17"/>
                <w:szCs w:val="17"/>
                <w:lang w:eastAsia="en-GB"/>
              </w:rPr>
              <w:t>47 551.4</w:t>
            </w:r>
          </w:p>
        </w:tc>
        <w:tc>
          <w:tcPr>
            <w:tcW w:w="1195" w:type="dxa"/>
            <w:tcBorders>
              <w:top w:val="single" w:sz="4" w:space="0" w:color="auto"/>
              <w:bottom w:val="single" w:sz="4" w:space="0" w:color="auto"/>
            </w:tcBorders>
            <w:shd w:val="clear" w:color="auto" w:fill="auto"/>
            <w:vAlign w:val="bottom"/>
          </w:tcPr>
          <w:p w:rsidR="00373652" w:rsidRPr="003A7309" w:rsidRDefault="00373652" w:rsidP="00E731AF">
            <w:pPr>
              <w:tabs>
                <w:tab w:val="left" w:pos="288"/>
                <w:tab w:val="left" w:pos="576"/>
                <w:tab w:val="left" w:pos="864"/>
                <w:tab w:val="left" w:pos="1152"/>
              </w:tabs>
              <w:spacing w:before="81" w:after="81" w:line="240" w:lineRule="auto"/>
              <w:ind w:left="27" w:right="43" w:firstLineChars="100" w:firstLine="180"/>
              <w:jc w:val="right"/>
              <w:rPr>
                <w:b/>
                <w:bCs/>
                <w:sz w:val="17"/>
                <w:szCs w:val="17"/>
                <w:lang w:eastAsia="en-GB"/>
              </w:rPr>
            </w:pPr>
            <w:r w:rsidRPr="003A7309">
              <w:rPr>
                <w:b/>
                <w:bCs/>
                <w:sz w:val="17"/>
                <w:szCs w:val="17"/>
                <w:lang w:eastAsia="en-GB"/>
              </w:rPr>
              <w:t>13 474.1</w:t>
            </w:r>
          </w:p>
        </w:tc>
      </w:tr>
      <w:tr w:rsidR="00373652" w:rsidRPr="00373652" w:rsidTr="001528FB">
        <w:tc>
          <w:tcPr>
            <w:tcW w:w="2583"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right="43"/>
              <w:rPr>
                <w:b/>
                <w:bCs/>
                <w:sz w:val="17"/>
                <w:szCs w:val="17"/>
                <w:lang w:eastAsia="en-GB"/>
              </w:rPr>
            </w:pPr>
            <w:r w:rsidRPr="00373652">
              <w:rPr>
                <w:b/>
                <w:bCs/>
                <w:sz w:val="17"/>
                <w:szCs w:val="17"/>
                <w:lang w:eastAsia="en-GB"/>
              </w:rPr>
              <w:t>Operational costs</w:t>
            </w:r>
          </w:p>
        </w:tc>
        <w:tc>
          <w:tcPr>
            <w:tcW w:w="1221"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left="27" w:right="43"/>
              <w:jc w:val="right"/>
              <w:rPr>
                <w:sz w:val="17"/>
                <w:szCs w:val="17"/>
                <w:lang w:eastAsia="en-GB"/>
              </w:rPr>
            </w:pPr>
          </w:p>
        </w:tc>
        <w:tc>
          <w:tcPr>
            <w:tcW w:w="1194"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left="27" w:right="43"/>
              <w:jc w:val="right"/>
              <w:rPr>
                <w:sz w:val="17"/>
                <w:szCs w:val="17"/>
                <w:lang w:eastAsia="en-GB"/>
              </w:rPr>
            </w:pPr>
          </w:p>
        </w:tc>
        <w:tc>
          <w:tcPr>
            <w:tcW w:w="1302"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left="27" w:right="43"/>
              <w:jc w:val="right"/>
              <w:rPr>
                <w:sz w:val="17"/>
                <w:szCs w:val="17"/>
                <w:lang w:eastAsia="en-GB"/>
              </w:rPr>
            </w:pPr>
          </w:p>
        </w:tc>
        <w:tc>
          <w:tcPr>
            <w:tcW w:w="1087"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left="27" w:right="43"/>
              <w:jc w:val="right"/>
              <w:rPr>
                <w:sz w:val="17"/>
                <w:szCs w:val="17"/>
                <w:lang w:eastAsia="en-GB"/>
              </w:rPr>
            </w:pPr>
          </w:p>
        </w:tc>
        <w:tc>
          <w:tcPr>
            <w:tcW w:w="1195" w:type="dxa"/>
            <w:tcBorders>
              <w:top w:val="single" w:sz="4" w:space="0" w:color="auto"/>
            </w:tcBorders>
            <w:shd w:val="clear" w:color="auto" w:fill="auto"/>
            <w:vAlign w:val="bottom"/>
          </w:tcPr>
          <w:p w:rsidR="00373652" w:rsidRPr="00373652" w:rsidRDefault="00373652" w:rsidP="001528FB">
            <w:pPr>
              <w:tabs>
                <w:tab w:val="left" w:pos="288"/>
                <w:tab w:val="left" w:pos="576"/>
                <w:tab w:val="left" w:pos="864"/>
                <w:tab w:val="left" w:pos="1152"/>
              </w:tabs>
              <w:spacing w:before="61" w:after="20" w:line="240" w:lineRule="auto"/>
              <w:ind w:left="27" w:right="43"/>
              <w:jc w:val="right"/>
              <w:rPr>
                <w:sz w:val="17"/>
                <w:szCs w:val="17"/>
                <w:lang w:eastAsia="en-GB"/>
              </w:rPr>
            </w:pP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Civilian electoral observers</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Consultants</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189.0</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146.0</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638.9</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784.9</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595.9</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Official travel</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1 479.0</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585.3</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2 405.7</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2 991.0</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1 512.0</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Facilities and infrastructure</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12 188.5</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4 607.6</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13 435.2</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18 042.8</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5 854.3</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Ground transportation</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2 239.2</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1 246.2</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2 457.4</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3 703.6</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1 464.4</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Air transportation</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10 730.6</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8 259.5</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4 202.5</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12 462.0</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1 731.4</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Naval transportation</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2.4</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1.7</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(1.7)</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(2.4)</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Communications</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2 416.4</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1 066.2</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2 624.6</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3 690.8</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1 274.4</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Information technology</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2 245.0</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635.4</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3 490.9</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4 126.3</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1 881.3</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Medical</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467.4</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342.2</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323.3</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665.5</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198.1</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right="40"/>
              <w:rPr>
                <w:sz w:val="17"/>
                <w:szCs w:val="17"/>
                <w:lang w:eastAsia="en-GB"/>
              </w:rPr>
            </w:pPr>
            <w:r>
              <w:rPr>
                <w:sz w:val="17"/>
                <w:szCs w:val="17"/>
                <w:lang w:eastAsia="en-GB"/>
              </w:rPr>
              <w:tab/>
            </w:r>
            <w:r w:rsidR="00373652" w:rsidRPr="00373652">
              <w:rPr>
                <w:sz w:val="17"/>
                <w:szCs w:val="17"/>
                <w:lang w:eastAsia="en-GB"/>
              </w:rPr>
              <w:t>Special equipment</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Pr>
                <w:sz w:val="17"/>
                <w:szCs w:val="17"/>
                <w:lang w:eastAsia="en-GB"/>
              </w:rPr>
              <w:t>–</w:t>
            </w:r>
          </w:p>
        </w:tc>
      </w:tr>
      <w:tr w:rsidR="00373652" w:rsidRPr="00373652" w:rsidTr="001528FB">
        <w:tc>
          <w:tcPr>
            <w:tcW w:w="2583" w:type="dxa"/>
            <w:shd w:val="clear" w:color="auto" w:fill="auto"/>
            <w:vAlign w:val="bottom"/>
          </w:tcPr>
          <w:p w:rsidR="00373652" w:rsidRPr="00373652" w:rsidRDefault="003A7309" w:rsidP="001528FB">
            <w:pPr>
              <w:tabs>
                <w:tab w:val="left" w:pos="288"/>
                <w:tab w:val="left" w:pos="576"/>
                <w:tab w:val="left" w:pos="864"/>
                <w:tab w:val="left" w:pos="1152"/>
              </w:tabs>
              <w:spacing w:before="20" w:after="20" w:line="240" w:lineRule="auto"/>
              <w:ind w:left="288" w:right="40" w:hanging="288"/>
              <w:rPr>
                <w:sz w:val="17"/>
                <w:szCs w:val="17"/>
                <w:lang w:eastAsia="en-GB"/>
              </w:rPr>
            </w:pPr>
            <w:r>
              <w:rPr>
                <w:sz w:val="17"/>
                <w:szCs w:val="17"/>
                <w:lang w:eastAsia="en-GB"/>
              </w:rPr>
              <w:tab/>
            </w:r>
            <w:r w:rsidR="00373652" w:rsidRPr="00373652">
              <w:rPr>
                <w:sz w:val="17"/>
                <w:szCs w:val="17"/>
                <w:lang w:eastAsia="en-GB"/>
              </w:rPr>
              <w:t>Other supplies, services and equipment</w:t>
            </w:r>
          </w:p>
        </w:tc>
        <w:tc>
          <w:tcPr>
            <w:tcW w:w="1221"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6 684.2</w:t>
            </w:r>
          </w:p>
        </w:tc>
        <w:tc>
          <w:tcPr>
            <w:tcW w:w="1194"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4 305.0</w:t>
            </w:r>
          </w:p>
        </w:tc>
        <w:tc>
          <w:tcPr>
            <w:tcW w:w="1302"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9 629.4</w:t>
            </w:r>
          </w:p>
        </w:tc>
        <w:tc>
          <w:tcPr>
            <w:tcW w:w="1087"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13 934.4</w:t>
            </w:r>
          </w:p>
        </w:tc>
        <w:tc>
          <w:tcPr>
            <w:tcW w:w="1195" w:type="dxa"/>
            <w:shd w:val="clear" w:color="auto" w:fill="auto"/>
            <w:vAlign w:val="bottom"/>
          </w:tcPr>
          <w:p w:rsidR="00373652" w:rsidRPr="00373652" w:rsidRDefault="00373652" w:rsidP="001528FB">
            <w:pPr>
              <w:tabs>
                <w:tab w:val="left" w:pos="288"/>
                <w:tab w:val="left" w:pos="576"/>
                <w:tab w:val="left" w:pos="864"/>
                <w:tab w:val="left" w:pos="1152"/>
              </w:tabs>
              <w:spacing w:before="20" w:after="20" w:line="240" w:lineRule="auto"/>
              <w:ind w:left="27" w:right="40"/>
              <w:jc w:val="right"/>
              <w:rPr>
                <w:sz w:val="17"/>
                <w:szCs w:val="17"/>
                <w:lang w:eastAsia="en-GB"/>
              </w:rPr>
            </w:pPr>
            <w:r w:rsidRPr="00373652">
              <w:rPr>
                <w:sz w:val="17"/>
                <w:szCs w:val="17"/>
                <w:lang w:eastAsia="en-GB"/>
              </w:rPr>
              <w:t>7 250.2</w:t>
            </w:r>
          </w:p>
        </w:tc>
      </w:tr>
      <w:tr w:rsidR="00373652" w:rsidRPr="00373652" w:rsidTr="001528FB">
        <w:tc>
          <w:tcPr>
            <w:tcW w:w="2583" w:type="dxa"/>
            <w:tcBorders>
              <w:bottom w:val="single" w:sz="4" w:space="0" w:color="auto"/>
            </w:tcBorders>
            <w:shd w:val="clear" w:color="auto" w:fill="auto"/>
            <w:vAlign w:val="bottom"/>
          </w:tcPr>
          <w:p w:rsidR="00373652" w:rsidRPr="00373652" w:rsidRDefault="003A7309" w:rsidP="001528FB">
            <w:pPr>
              <w:widowControl w:val="0"/>
              <w:tabs>
                <w:tab w:val="left" w:pos="288"/>
                <w:tab w:val="left" w:pos="576"/>
                <w:tab w:val="left" w:pos="864"/>
                <w:tab w:val="left" w:pos="1152"/>
              </w:tabs>
              <w:spacing w:before="20" w:after="81" w:line="240" w:lineRule="auto"/>
              <w:ind w:right="40"/>
              <w:rPr>
                <w:sz w:val="17"/>
                <w:szCs w:val="17"/>
                <w:lang w:eastAsia="en-GB"/>
              </w:rPr>
            </w:pPr>
            <w:r>
              <w:rPr>
                <w:sz w:val="17"/>
                <w:szCs w:val="17"/>
                <w:lang w:eastAsia="en-GB"/>
              </w:rPr>
              <w:tab/>
            </w:r>
            <w:r w:rsidR="00373652" w:rsidRPr="00373652">
              <w:rPr>
                <w:sz w:val="17"/>
                <w:szCs w:val="17"/>
                <w:lang w:eastAsia="en-GB"/>
              </w:rPr>
              <w:t>Quick-impact projects</w:t>
            </w:r>
          </w:p>
        </w:tc>
        <w:tc>
          <w:tcPr>
            <w:tcW w:w="1221" w:type="dxa"/>
            <w:tcBorders>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1 000.0</w:t>
            </w:r>
          </w:p>
        </w:tc>
        <w:tc>
          <w:tcPr>
            <w:tcW w:w="1194" w:type="dxa"/>
            <w:tcBorders>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2 049.0</w:t>
            </w:r>
          </w:p>
        </w:tc>
        <w:tc>
          <w:tcPr>
            <w:tcW w:w="1302" w:type="dxa"/>
            <w:tcBorders>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(49.0)</w:t>
            </w:r>
          </w:p>
        </w:tc>
        <w:tc>
          <w:tcPr>
            <w:tcW w:w="1087" w:type="dxa"/>
            <w:tcBorders>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2 000.0</w:t>
            </w:r>
          </w:p>
        </w:tc>
        <w:tc>
          <w:tcPr>
            <w:tcW w:w="1195" w:type="dxa"/>
            <w:tcBorders>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20" w:after="81" w:line="240" w:lineRule="auto"/>
              <w:ind w:left="27" w:right="40"/>
              <w:jc w:val="right"/>
              <w:rPr>
                <w:sz w:val="17"/>
                <w:szCs w:val="17"/>
                <w:lang w:eastAsia="en-GB"/>
              </w:rPr>
            </w:pPr>
            <w:r w:rsidRPr="00373652">
              <w:rPr>
                <w:sz w:val="17"/>
                <w:szCs w:val="17"/>
                <w:lang w:eastAsia="en-GB"/>
              </w:rPr>
              <w:t>1 000.0</w:t>
            </w:r>
          </w:p>
        </w:tc>
      </w:tr>
      <w:tr w:rsidR="00373652" w:rsidRPr="003A7309" w:rsidTr="001528FB">
        <w:tc>
          <w:tcPr>
            <w:tcW w:w="2583" w:type="dxa"/>
            <w:tcBorders>
              <w:top w:val="single" w:sz="4" w:space="0" w:color="auto"/>
              <w:bottom w:val="single" w:sz="4" w:space="0" w:color="auto"/>
            </w:tcBorders>
            <w:shd w:val="clear" w:color="auto" w:fill="auto"/>
            <w:vAlign w:val="bottom"/>
          </w:tcPr>
          <w:p w:rsidR="00373652" w:rsidRPr="003A7309" w:rsidRDefault="003A7309" w:rsidP="001528FB">
            <w:pPr>
              <w:widowControl w:val="0"/>
              <w:tabs>
                <w:tab w:val="left" w:pos="288"/>
                <w:tab w:val="left" w:pos="576"/>
                <w:tab w:val="left" w:pos="864"/>
                <w:tab w:val="left" w:pos="1152"/>
              </w:tabs>
              <w:spacing w:before="61" w:after="81" w:line="240" w:lineRule="auto"/>
              <w:ind w:right="43"/>
              <w:rPr>
                <w:b/>
                <w:bCs/>
                <w:sz w:val="17"/>
                <w:szCs w:val="17"/>
                <w:lang w:eastAsia="en-GB"/>
              </w:rPr>
            </w:pPr>
            <w:r w:rsidRPr="003A7309">
              <w:rPr>
                <w:b/>
                <w:bCs/>
                <w:sz w:val="17"/>
                <w:szCs w:val="17"/>
                <w:lang w:eastAsia="en-GB"/>
              </w:rPr>
              <w:tab/>
            </w:r>
            <w:r w:rsidR="00373652" w:rsidRPr="003A7309">
              <w:rPr>
                <w:b/>
                <w:bCs/>
                <w:sz w:val="17"/>
                <w:szCs w:val="17"/>
                <w:lang w:eastAsia="en-GB"/>
              </w:rPr>
              <w:t>Subtotal</w:t>
            </w:r>
          </w:p>
        </w:tc>
        <w:tc>
          <w:tcPr>
            <w:tcW w:w="1221"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39 641.7</w:t>
            </w:r>
          </w:p>
        </w:tc>
        <w:tc>
          <w:tcPr>
            <w:tcW w:w="1194"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23 244.1</w:t>
            </w:r>
          </w:p>
        </w:tc>
        <w:tc>
          <w:tcPr>
            <w:tcW w:w="1302"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39 157.2</w:t>
            </w:r>
          </w:p>
        </w:tc>
        <w:tc>
          <w:tcPr>
            <w:tcW w:w="1087"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62 401.3</w:t>
            </w:r>
          </w:p>
        </w:tc>
        <w:tc>
          <w:tcPr>
            <w:tcW w:w="1195"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61" w:after="81" w:line="240" w:lineRule="auto"/>
              <w:ind w:left="27" w:right="43" w:firstLineChars="100" w:firstLine="180"/>
              <w:jc w:val="right"/>
              <w:rPr>
                <w:b/>
                <w:bCs/>
                <w:sz w:val="17"/>
                <w:szCs w:val="17"/>
                <w:lang w:eastAsia="en-GB"/>
              </w:rPr>
            </w:pPr>
            <w:r w:rsidRPr="003A7309">
              <w:rPr>
                <w:b/>
                <w:bCs/>
                <w:sz w:val="17"/>
                <w:szCs w:val="17"/>
                <w:lang w:eastAsia="en-GB"/>
              </w:rPr>
              <w:t>22 759.6</w:t>
            </w:r>
          </w:p>
        </w:tc>
      </w:tr>
      <w:tr w:rsidR="00373652" w:rsidRPr="003A7309" w:rsidTr="001528FB">
        <w:tc>
          <w:tcPr>
            <w:tcW w:w="2583" w:type="dxa"/>
            <w:tcBorders>
              <w:top w:val="single" w:sz="4" w:space="0" w:color="auto"/>
              <w:bottom w:val="single" w:sz="4" w:space="0" w:color="auto"/>
            </w:tcBorders>
            <w:shd w:val="clear" w:color="auto" w:fill="auto"/>
            <w:vAlign w:val="bottom"/>
          </w:tcPr>
          <w:p w:rsidR="00373652" w:rsidRPr="003A7309" w:rsidRDefault="001528FB" w:rsidP="001528FB">
            <w:pPr>
              <w:widowControl w:val="0"/>
              <w:tabs>
                <w:tab w:val="left" w:pos="288"/>
                <w:tab w:val="left" w:pos="576"/>
                <w:tab w:val="left" w:pos="864"/>
                <w:tab w:val="left" w:pos="1152"/>
              </w:tabs>
              <w:spacing w:before="81" w:after="81" w:line="240" w:lineRule="auto"/>
              <w:ind w:right="40"/>
              <w:rPr>
                <w:b/>
                <w:bCs/>
                <w:sz w:val="17"/>
                <w:szCs w:val="17"/>
                <w:lang w:eastAsia="en-GB"/>
              </w:rPr>
            </w:pPr>
            <w:r>
              <w:rPr>
                <w:b/>
                <w:bCs/>
                <w:sz w:val="17"/>
                <w:szCs w:val="17"/>
                <w:lang w:eastAsia="en-GB"/>
              </w:rPr>
              <w:tab/>
            </w:r>
            <w:r w:rsidR="00373652" w:rsidRPr="003A7309">
              <w:rPr>
                <w:b/>
                <w:bCs/>
                <w:sz w:val="17"/>
                <w:szCs w:val="17"/>
                <w:lang w:eastAsia="en-GB"/>
              </w:rPr>
              <w:t>Gross requirements</w:t>
            </w:r>
          </w:p>
        </w:tc>
        <w:tc>
          <w:tcPr>
            <w:tcW w:w="1221"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81" w:after="81" w:line="240" w:lineRule="auto"/>
              <w:ind w:left="27" w:right="40"/>
              <w:jc w:val="right"/>
              <w:rPr>
                <w:b/>
                <w:bCs/>
                <w:sz w:val="17"/>
                <w:szCs w:val="17"/>
                <w:lang w:eastAsia="en-GB"/>
              </w:rPr>
            </w:pPr>
            <w:r w:rsidRPr="003A7309">
              <w:rPr>
                <w:b/>
                <w:bCs/>
                <w:sz w:val="17"/>
                <w:szCs w:val="17"/>
                <w:lang w:eastAsia="en-GB"/>
              </w:rPr>
              <w:t>153 046.0</w:t>
            </w:r>
          </w:p>
        </w:tc>
        <w:tc>
          <w:tcPr>
            <w:tcW w:w="1194"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81" w:after="81" w:line="240" w:lineRule="auto"/>
              <w:ind w:left="27" w:right="40"/>
              <w:jc w:val="right"/>
              <w:rPr>
                <w:b/>
                <w:bCs/>
                <w:sz w:val="17"/>
                <w:szCs w:val="17"/>
                <w:lang w:eastAsia="en-GB"/>
              </w:rPr>
            </w:pPr>
            <w:r w:rsidRPr="003A7309">
              <w:rPr>
                <w:b/>
                <w:bCs/>
                <w:sz w:val="17"/>
                <w:szCs w:val="17"/>
                <w:lang w:eastAsia="en-GB"/>
              </w:rPr>
              <w:t>99 661.1</w:t>
            </w:r>
          </w:p>
        </w:tc>
        <w:tc>
          <w:tcPr>
            <w:tcW w:w="1302"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81" w:after="81" w:line="240" w:lineRule="auto"/>
              <w:ind w:left="27" w:right="40"/>
              <w:jc w:val="right"/>
              <w:rPr>
                <w:b/>
                <w:bCs/>
                <w:sz w:val="17"/>
                <w:szCs w:val="17"/>
                <w:lang w:eastAsia="en-GB"/>
              </w:rPr>
            </w:pPr>
            <w:r w:rsidRPr="003A7309">
              <w:rPr>
                <w:b/>
                <w:bCs/>
                <w:sz w:val="17"/>
                <w:szCs w:val="17"/>
                <w:lang w:eastAsia="en-GB"/>
              </w:rPr>
              <w:t>79 213.8</w:t>
            </w:r>
          </w:p>
        </w:tc>
        <w:tc>
          <w:tcPr>
            <w:tcW w:w="1087"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81" w:after="81" w:line="240" w:lineRule="auto"/>
              <w:ind w:left="27" w:right="40"/>
              <w:jc w:val="right"/>
              <w:rPr>
                <w:b/>
                <w:bCs/>
                <w:sz w:val="17"/>
                <w:szCs w:val="17"/>
                <w:lang w:eastAsia="en-GB"/>
              </w:rPr>
            </w:pPr>
            <w:r w:rsidRPr="003A7309">
              <w:rPr>
                <w:b/>
                <w:bCs/>
                <w:sz w:val="17"/>
                <w:szCs w:val="17"/>
                <w:lang w:eastAsia="en-GB"/>
              </w:rPr>
              <w:t>178 874.9</w:t>
            </w:r>
          </w:p>
        </w:tc>
        <w:tc>
          <w:tcPr>
            <w:tcW w:w="1195" w:type="dxa"/>
            <w:tcBorders>
              <w:top w:val="single" w:sz="4" w:space="0" w:color="auto"/>
              <w:bottom w:val="single" w:sz="4" w:space="0" w:color="auto"/>
            </w:tcBorders>
            <w:shd w:val="clear" w:color="auto" w:fill="auto"/>
            <w:vAlign w:val="bottom"/>
          </w:tcPr>
          <w:p w:rsidR="00373652" w:rsidRPr="003A7309" w:rsidRDefault="00373652" w:rsidP="001528FB">
            <w:pPr>
              <w:widowControl w:val="0"/>
              <w:tabs>
                <w:tab w:val="left" w:pos="288"/>
                <w:tab w:val="left" w:pos="576"/>
                <w:tab w:val="left" w:pos="864"/>
                <w:tab w:val="left" w:pos="1152"/>
              </w:tabs>
              <w:spacing w:before="81" w:after="81" w:line="240" w:lineRule="auto"/>
              <w:ind w:left="27" w:right="40"/>
              <w:jc w:val="right"/>
              <w:rPr>
                <w:b/>
                <w:bCs/>
                <w:sz w:val="17"/>
                <w:szCs w:val="17"/>
                <w:lang w:eastAsia="en-GB"/>
              </w:rPr>
            </w:pPr>
            <w:r w:rsidRPr="003A7309">
              <w:rPr>
                <w:b/>
                <w:bCs/>
                <w:sz w:val="17"/>
                <w:szCs w:val="17"/>
                <w:lang w:eastAsia="en-GB"/>
              </w:rPr>
              <w:t>25 828.9</w:t>
            </w:r>
          </w:p>
        </w:tc>
      </w:tr>
      <w:tr w:rsidR="00373652" w:rsidRPr="00373652" w:rsidTr="001528FB">
        <w:tc>
          <w:tcPr>
            <w:tcW w:w="2583" w:type="dxa"/>
            <w:tcBorders>
              <w:top w:val="single" w:sz="4" w:space="0" w:color="auto"/>
              <w:bottom w:val="single" w:sz="4" w:space="0" w:color="auto"/>
            </w:tcBorders>
            <w:shd w:val="clear" w:color="auto" w:fill="auto"/>
            <w:vAlign w:val="bottom"/>
          </w:tcPr>
          <w:p w:rsidR="00373652" w:rsidRPr="00373652" w:rsidRDefault="003A7309" w:rsidP="001528FB">
            <w:pPr>
              <w:widowControl w:val="0"/>
              <w:tabs>
                <w:tab w:val="left" w:pos="288"/>
                <w:tab w:val="left" w:pos="576"/>
                <w:tab w:val="left" w:pos="864"/>
                <w:tab w:val="left" w:pos="1152"/>
              </w:tabs>
              <w:spacing w:before="81" w:after="81" w:line="240" w:lineRule="auto"/>
              <w:ind w:right="40"/>
              <w:rPr>
                <w:sz w:val="17"/>
                <w:szCs w:val="17"/>
                <w:lang w:eastAsia="en-GB"/>
              </w:rPr>
            </w:pPr>
            <w:r>
              <w:rPr>
                <w:sz w:val="17"/>
                <w:szCs w:val="17"/>
                <w:lang w:eastAsia="en-GB"/>
              </w:rPr>
              <w:tab/>
            </w:r>
            <w:r w:rsidR="00373652" w:rsidRPr="00373652">
              <w:rPr>
                <w:sz w:val="17"/>
                <w:szCs w:val="17"/>
                <w:lang w:eastAsia="en-GB"/>
              </w:rPr>
              <w:t>Staff assessment income</w:t>
            </w:r>
          </w:p>
        </w:tc>
        <w:tc>
          <w:tcPr>
            <w:tcW w:w="1221" w:type="dxa"/>
            <w:tcBorders>
              <w:top w:val="single" w:sz="4" w:space="0" w:color="auto"/>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81" w:after="81" w:line="240" w:lineRule="auto"/>
              <w:ind w:left="27" w:right="40"/>
              <w:jc w:val="right"/>
              <w:rPr>
                <w:sz w:val="17"/>
                <w:szCs w:val="17"/>
                <w:lang w:eastAsia="en-GB"/>
              </w:rPr>
            </w:pPr>
            <w:r w:rsidRPr="00373652">
              <w:rPr>
                <w:sz w:val="17"/>
                <w:szCs w:val="17"/>
                <w:lang w:eastAsia="en-GB"/>
              </w:rPr>
              <w:t>3 727.3</w:t>
            </w:r>
          </w:p>
        </w:tc>
        <w:tc>
          <w:tcPr>
            <w:tcW w:w="1194" w:type="dxa"/>
            <w:tcBorders>
              <w:top w:val="single" w:sz="4" w:space="0" w:color="auto"/>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81" w:after="81" w:line="240" w:lineRule="auto"/>
              <w:ind w:left="27" w:right="40"/>
              <w:jc w:val="right"/>
              <w:rPr>
                <w:sz w:val="17"/>
                <w:szCs w:val="17"/>
                <w:lang w:eastAsia="en-GB"/>
              </w:rPr>
            </w:pPr>
            <w:r w:rsidRPr="00373652">
              <w:rPr>
                <w:sz w:val="17"/>
                <w:szCs w:val="17"/>
                <w:lang w:eastAsia="en-GB"/>
              </w:rPr>
              <w:t>2 365.9</w:t>
            </w:r>
          </w:p>
        </w:tc>
        <w:tc>
          <w:tcPr>
            <w:tcW w:w="1302" w:type="dxa"/>
            <w:tcBorders>
              <w:top w:val="single" w:sz="4" w:space="0" w:color="auto"/>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81" w:after="81" w:line="240" w:lineRule="auto"/>
              <w:ind w:left="27" w:right="40"/>
              <w:jc w:val="right"/>
              <w:rPr>
                <w:sz w:val="17"/>
                <w:szCs w:val="17"/>
                <w:lang w:eastAsia="en-GB"/>
              </w:rPr>
            </w:pPr>
            <w:r w:rsidRPr="00373652">
              <w:rPr>
                <w:sz w:val="17"/>
                <w:szCs w:val="17"/>
                <w:lang w:eastAsia="en-GB"/>
              </w:rPr>
              <w:t>2 436.8</w:t>
            </w:r>
          </w:p>
        </w:tc>
        <w:tc>
          <w:tcPr>
            <w:tcW w:w="1087" w:type="dxa"/>
            <w:tcBorders>
              <w:top w:val="single" w:sz="4" w:space="0" w:color="auto"/>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81" w:after="81" w:line="240" w:lineRule="auto"/>
              <w:ind w:left="27" w:right="40"/>
              <w:jc w:val="right"/>
              <w:rPr>
                <w:sz w:val="17"/>
                <w:szCs w:val="17"/>
                <w:lang w:eastAsia="en-GB"/>
              </w:rPr>
            </w:pPr>
            <w:r w:rsidRPr="00373652">
              <w:rPr>
                <w:sz w:val="17"/>
                <w:szCs w:val="17"/>
                <w:lang w:eastAsia="en-GB"/>
              </w:rPr>
              <w:t>4 802.7</w:t>
            </w:r>
          </w:p>
        </w:tc>
        <w:tc>
          <w:tcPr>
            <w:tcW w:w="1195" w:type="dxa"/>
            <w:tcBorders>
              <w:top w:val="single" w:sz="4" w:space="0" w:color="auto"/>
              <w:bottom w:val="single" w:sz="4" w:space="0" w:color="auto"/>
            </w:tcBorders>
            <w:shd w:val="clear" w:color="auto" w:fill="auto"/>
            <w:vAlign w:val="bottom"/>
          </w:tcPr>
          <w:p w:rsidR="00373652" w:rsidRPr="00373652" w:rsidRDefault="00373652" w:rsidP="001528FB">
            <w:pPr>
              <w:widowControl w:val="0"/>
              <w:tabs>
                <w:tab w:val="left" w:pos="288"/>
                <w:tab w:val="left" w:pos="576"/>
                <w:tab w:val="left" w:pos="864"/>
                <w:tab w:val="left" w:pos="1152"/>
              </w:tabs>
              <w:spacing w:before="81" w:after="81" w:line="240" w:lineRule="auto"/>
              <w:ind w:left="27" w:right="40"/>
              <w:jc w:val="right"/>
              <w:rPr>
                <w:sz w:val="17"/>
                <w:szCs w:val="17"/>
                <w:lang w:eastAsia="en-GB"/>
              </w:rPr>
            </w:pPr>
            <w:r w:rsidRPr="00373652">
              <w:rPr>
                <w:sz w:val="17"/>
                <w:szCs w:val="17"/>
                <w:lang w:eastAsia="en-GB"/>
              </w:rPr>
              <w:t>1 075.4</w:t>
            </w:r>
          </w:p>
        </w:tc>
      </w:tr>
      <w:tr w:rsidR="00373652" w:rsidRPr="003A7309" w:rsidTr="001528FB">
        <w:tc>
          <w:tcPr>
            <w:tcW w:w="2583" w:type="dxa"/>
            <w:tcBorders>
              <w:top w:val="single" w:sz="4" w:space="0" w:color="auto"/>
              <w:bottom w:val="single" w:sz="4" w:space="0" w:color="auto"/>
            </w:tcBorders>
            <w:shd w:val="clear" w:color="auto" w:fill="auto"/>
            <w:vAlign w:val="bottom"/>
          </w:tcPr>
          <w:p w:rsidR="00373652" w:rsidRPr="003A7309" w:rsidRDefault="003A7309" w:rsidP="00E731AF">
            <w:pPr>
              <w:widowControl w:val="0"/>
              <w:tabs>
                <w:tab w:val="left" w:pos="288"/>
                <w:tab w:val="left" w:pos="576"/>
                <w:tab w:val="left" w:pos="864"/>
                <w:tab w:val="left" w:pos="1152"/>
              </w:tabs>
              <w:spacing w:before="81" w:after="81" w:line="240" w:lineRule="auto"/>
              <w:ind w:right="43"/>
              <w:rPr>
                <w:b/>
                <w:bCs/>
                <w:sz w:val="17"/>
                <w:szCs w:val="17"/>
                <w:lang w:eastAsia="en-GB"/>
              </w:rPr>
            </w:pPr>
            <w:r w:rsidRPr="003A7309">
              <w:rPr>
                <w:b/>
                <w:bCs/>
                <w:sz w:val="17"/>
                <w:szCs w:val="17"/>
                <w:lang w:eastAsia="en-GB"/>
              </w:rPr>
              <w:tab/>
            </w:r>
            <w:r w:rsidR="00373652" w:rsidRPr="003A7309">
              <w:rPr>
                <w:b/>
                <w:bCs/>
                <w:sz w:val="17"/>
                <w:szCs w:val="17"/>
                <w:lang w:eastAsia="en-GB"/>
              </w:rPr>
              <w:t>Net requirements</w:t>
            </w:r>
          </w:p>
        </w:tc>
        <w:tc>
          <w:tcPr>
            <w:tcW w:w="1221" w:type="dxa"/>
            <w:tcBorders>
              <w:top w:val="single" w:sz="4" w:space="0" w:color="auto"/>
              <w:bottom w:val="single" w:sz="4" w:space="0" w:color="auto"/>
            </w:tcBorders>
            <w:shd w:val="clear" w:color="auto" w:fill="auto"/>
            <w:vAlign w:val="bottom"/>
          </w:tcPr>
          <w:p w:rsidR="00373652" w:rsidRPr="003A7309" w:rsidRDefault="00373652" w:rsidP="00E731AF">
            <w:pPr>
              <w:widowControl w:val="0"/>
              <w:tabs>
                <w:tab w:val="left" w:pos="288"/>
                <w:tab w:val="left" w:pos="576"/>
                <w:tab w:val="left" w:pos="864"/>
                <w:tab w:val="left" w:pos="1152"/>
              </w:tabs>
              <w:spacing w:before="81" w:after="81" w:line="240" w:lineRule="auto"/>
              <w:ind w:left="27" w:right="43"/>
              <w:jc w:val="right"/>
              <w:rPr>
                <w:b/>
                <w:bCs/>
                <w:sz w:val="17"/>
                <w:szCs w:val="17"/>
                <w:lang w:eastAsia="en-GB"/>
              </w:rPr>
            </w:pPr>
            <w:r w:rsidRPr="003A7309">
              <w:rPr>
                <w:b/>
                <w:bCs/>
                <w:sz w:val="17"/>
                <w:szCs w:val="17"/>
                <w:lang w:eastAsia="en-GB"/>
              </w:rPr>
              <w:t>149 318.7</w:t>
            </w:r>
          </w:p>
        </w:tc>
        <w:tc>
          <w:tcPr>
            <w:tcW w:w="1194" w:type="dxa"/>
            <w:tcBorders>
              <w:top w:val="single" w:sz="4" w:space="0" w:color="auto"/>
              <w:bottom w:val="single" w:sz="4" w:space="0" w:color="auto"/>
            </w:tcBorders>
            <w:shd w:val="clear" w:color="auto" w:fill="auto"/>
            <w:vAlign w:val="bottom"/>
          </w:tcPr>
          <w:p w:rsidR="00373652" w:rsidRPr="003A7309" w:rsidRDefault="00373652" w:rsidP="00E731AF">
            <w:pPr>
              <w:widowControl w:val="0"/>
              <w:tabs>
                <w:tab w:val="left" w:pos="288"/>
                <w:tab w:val="left" w:pos="576"/>
                <w:tab w:val="left" w:pos="864"/>
                <w:tab w:val="left" w:pos="1152"/>
              </w:tabs>
              <w:spacing w:before="81" w:after="81" w:line="240" w:lineRule="auto"/>
              <w:ind w:left="27" w:right="43"/>
              <w:jc w:val="right"/>
              <w:rPr>
                <w:b/>
                <w:bCs/>
                <w:sz w:val="17"/>
                <w:szCs w:val="17"/>
                <w:lang w:eastAsia="en-GB"/>
              </w:rPr>
            </w:pPr>
            <w:r w:rsidRPr="003A7309">
              <w:rPr>
                <w:b/>
                <w:bCs/>
                <w:sz w:val="17"/>
                <w:szCs w:val="17"/>
                <w:lang w:eastAsia="en-GB"/>
              </w:rPr>
              <w:t>97 295.2</w:t>
            </w:r>
          </w:p>
        </w:tc>
        <w:tc>
          <w:tcPr>
            <w:tcW w:w="1302" w:type="dxa"/>
            <w:tcBorders>
              <w:top w:val="single" w:sz="4" w:space="0" w:color="auto"/>
              <w:bottom w:val="single" w:sz="4" w:space="0" w:color="auto"/>
            </w:tcBorders>
            <w:shd w:val="clear" w:color="auto" w:fill="auto"/>
            <w:vAlign w:val="bottom"/>
          </w:tcPr>
          <w:p w:rsidR="00373652" w:rsidRPr="003A7309" w:rsidRDefault="00373652" w:rsidP="00E731AF">
            <w:pPr>
              <w:widowControl w:val="0"/>
              <w:tabs>
                <w:tab w:val="left" w:pos="288"/>
                <w:tab w:val="left" w:pos="576"/>
                <w:tab w:val="left" w:pos="864"/>
                <w:tab w:val="left" w:pos="1152"/>
              </w:tabs>
              <w:spacing w:before="81" w:after="81" w:line="240" w:lineRule="auto"/>
              <w:ind w:left="27" w:right="43"/>
              <w:jc w:val="right"/>
              <w:rPr>
                <w:b/>
                <w:bCs/>
                <w:sz w:val="17"/>
                <w:szCs w:val="17"/>
                <w:lang w:eastAsia="en-GB"/>
              </w:rPr>
            </w:pPr>
            <w:r w:rsidRPr="003A7309">
              <w:rPr>
                <w:b/>
                <w:bCs/>
                <w:sz w:val="17"/>
                <w:szCs w:val="17"/>
                <w:lang w:eastAsia="en-GB"/>
              </w:rPr>
              <w:t>76 777.0</w:t>
            </w:r>
          </w:p>
        </w:tc>
        <w:tc>
          <w:tcPr>
            <w:tcW w:w="1087" w:type="dxa"/>
            <w:tcBorders>
              <w:top w:val="single" w:sz="4" w:space="0" w:color="auto"/>
              <w:bottom w:val="single" w:sz="4" w:space="0" w:color="auto"/>
            </w:tcBorders>
            <w:shd w:val="clear" w:color="auto" w:fill="auto"/>
            <w:vAlign w:val="bottom"/>
          </w:tcPr>
          <w:p w:rsidR="00373652" w:rsidRPr="003A7309" w:rsidRDefault="00373652" w:rsidP="00E731AF">
            <w:pPr>
              <w:widowControl w:val="0"/>
              <w:tabs>
                <w:tab w:val="left" w:pos="288"/>
                <w:tab w:val="left" w:pos="576"/>
                <w:tab w:val="left" w:pos="864"/>
                <w:tab w:val="left" w:pos="1152"/>
              </w:tabs>
              <w:spacing w:before="81" w:after="81" w:line="240" w:lineRule="auto"/>
              <w:ind w:left="27" w:right="43"/>
              <w:jc w:val="right"/>
              <w:rPr>
                <w:b/>
                <w:bCs/>
                <w:sz w:val="17"/>
                <w:szCs w:val="17"/>
                <w:lang w:eastAsia="en-GB"/>
              </w:rPr>
            </w:pPr>
            <w:r w:rsidRPr="003A7309">
              <w:rPr>
                <w:b/>
                <w:bCs/>
                <w:sz w:val="17"/>
                <w:szCs w:val="17"/>
                <w:lang w:eastAsia="en-GB"/>
              </w:rPr>
              <w:t>174 072.2</w:t>
            </w:r>
          </w:p>
        </w:tc>
        <w:tc>
          <w:tcPr>
            <w:tcW w:w="1195" w:type="dxa"/>
            <w:tcBorders>
              <w:top w:val="single" w:sz="4" w:space="0" w:color="auto"/>
              <w:bottom w:val="single" w:sz="4" w:space="0" w:color="auto"/>
            </w:tcBorders>
            <w:shd w:val="clear" w:color="auto" w:fill="auto"/>
            <w:vAlign w:val="bottom"/>
          </w:tcPr>
          <w:p w:rsidR="00373652" w:rsidRPr="003A7309" w:rsidRDefault="00373652" w:rsidP="00E731AF">
            <w:pPr>
              <w:widowControl w:val="0"/>
              <w:tabs>
                <w:tab w:val="left" w:pos="288"/>
                <w:tab w:val="left" w:pos="576"/>
                <w:tab w:val="left" w:pos="864"/>
                <w:tab w:val="left" w:pos="1152"/>
              </w:tabs>
              <w:spacing w:before="81" w:after="81" w:line="240" w:lineRule="auto"/>
              <w:ind w:left="27" w:right="43"/>
              <w:jc w:val="right"/>
              <w:rPr>
                <w:b/>
                <w:bCs/>
                <w:sz w:val="17"/>
                <w:szCs w:val="17"/>
                <w:lang w:eastAsia="en-GB"/>
              </w:rPr>
            </w:pPr>
            <w:r w:rsidRPr="003A7309">
              <w:rPr>
                <w:b/>
                <w:bCs/>
                <w:sz w:val="17"/>
                <w:szCs w:val="17"/>
                <w:lang w:eastAsia="en-GB"/>
              </w:rPr>
              <w:t>24 753.5</w:t>
            </w:r>
          </w:p>
        </w:tc>
      </w:tr>
      <w:tr w:rsidR="003A7309" w:rsidRPr="003A7309" w:rsidTr="001528FB">
        <w:tc>
          <w:tcPr>
            <w:tcW w:w="2583" w:type="dxa"/>
            <w:tcBorders>
              <w:top w:val="single" w:sz="4" w:space="0" w:color="auto"/>
              <w:bottom w:val="single" w:sz="12" w:space="0" w:color="auto"/>
            </w:tcBorders>
            <w:shd w:val="clear" w:color="auto" w:fill="auto"/>
            <w:vAlign w:val="bottom"/>
          </w:tcPr>
          <w:p w:rsidR="00373652" w:rsidRPr="003A7309" w:rsidRDefault="003A7309" w:rsidP="00E731AF">
            <w:pPr>
              <w:widowControl w:val="0"/>
              <w:tabs>
                <w:tab w:val="left" w:pos="288"/>
              </w:tabs>
              <w:spacing w:before="81" w:after="81" w:line="240" w:lineRule="auto"/>
              <w:ind w:right="43"/>
              <w:rPr>
                <w:b/>
                <w:bCs/>
                <w:sz w:val="17"/>
                <w:szCs w:val="17"/>
                <w:lang w:eastAsia="en-GB"/>
              </w:rPr>
            </w:pPr>
            <w:r w:rsidRPr="003A7309">
              <w:rPr>
                <w:b/>
                <w:bCs/>
                <w:sz w:val="17"/>
                <w:szCs w:val="17"/>
                <w:lang w:eastAsia="en-GB"/>
              </w:rPr>
              <w:tab/>
            </w:r>
            <w:r w:rsidR="00373652" w:rsidRPr="003A7309">
              <w:rPr>
                <w:b/>
                <w:bCs/>
                <w:sz w:val="17"/>
                <w:szCs w:val="17"/>
                <w:lang w:eastAsia="en-GB"/>
              </w:rPr>
              <w:t>Total requirements</w:t>
            </w:r>
          </w:p>
        </w:tc>
        <w:tc>
          <w:tcPr>
            <w:tcW w:w="1221" w:type="dxa"/>
            <w:tcBorders>
              <w:top w:val="single" w:sz="4" w:space="0" w:color="auto"/>
              <w:bottom w:val="single" w:sz="12" w:space="0" w:color="auto"/>
            </w:tcBorders>
            <w:shd w:val="clear" w:color="auto" w:fill="auto"/>
            <w:vAlign w:val="bottom"/>
          </w:tcPr>
          <w:p w:rsidR="00373652" w:rsidRPr="003A7309" w:rsidRDefault="00E731AF" w:rsidP="00E731AF">
            <w:pPr>
              <w:widowControl w:val="0"/>
              <w:spacing w:before="81" w:after="81" w:line="240" w:lineRule="auto"/>
              <w:ind w:left="27" w:right="43"/>
              <w:jc w:val="right"/>
              <w:rPr>
                <w:b/>
                <w:bCs/>
                <w:sz w:val="17"/>
                <w:szCs w:val="17"/>
                <w:lang w:eastAsia="en-GB"/>
              </w:rPr>
            </w:pPr>
            <w:r>
              <w:rPr>
                <w:b/>
                <w:bCs/>
                <w:noProof/>
                <w:w w:val="100"/>
                <w:lang w:eastAsia="en-GB"/>
              </w:rPr>
              <mc:AlternateContent>
                <mc:Choice Requires="wps">
                  <w:drawing>
                    <wp:anchor distT="0" distB="0" distL="114300" distR="114300" simplePos="0" relativeHeight="251659264" behindDoc="0" locked="0" layoutInCell="1" allowOverlap="1" wp14:anchorId="520C2ABD" wp14:editId="37D085BA">
                      <wp:simplePos x="0" y="0"/>
                      <wp:positionH relativeFrom="column">
                        <wp:posOffset>229235</wp:posOffset>
                      </wp:positionH>
                      <wp:positionV relativeFrom="paragraph">
                        <wp:posOffset>565785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44.55pt" to="90.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VKmpzd0AAAAIAQAADwAAAGRycy9kb3ducmV2LnhtbEyPT2vCQBDF74V+h2UK3nSjQtim&#10;2UhRWpCetJXS25odk9DsbMiumvrpO9KDPc2f93jzm3wxuFacsA+NJw3TSQICqfS2oUrDx/vLWIEI&#10;0ZA1rSfU8IMBFsX9XW4y68+0wdM2VoJDKGRGQx1jl0kZyhqdCRPfIbF28L0zkce+krY3Zw53rZwl&#10;SSqdaYgv1KbDZY3l9/boNKjLp12t7ZtaDbvD66VTX+lmt9Z69DA8P4GIOMSbGa74jA4FM+39kWwQ&#10;rYZ5OmUnZz1yveoq4Wb/t5BFLv8/UPwCAAD//wMAUEsBAi0AFAAGAAgAAAAhALaDOJL+AAAA4QEA&#10;ABMAAAAAAAAAAAAAAAAAAAAAAFtDb250ZW50X1R5cGVzXS54bWxQSwECLQAUAAYACAAAACEAOP0h&#10;/9YAAACUAQAACwAAAAAAAAAAAAAAAAAvAQAAX3JlbHMvLnJlbHNQSwECLQAUAAYACAAAACEAZUYJ&#10;sdkBAAAMBAAADgAAAAAAAAAAAAAAAAAuAgAAZHJzL2Uyb0RvYy54bWxQSwECLQAUAAYACAAAACEA&#10;VKmpzd0AAAAIAQAADwAAAAAAAAAAAAAAAAAzBAAAZHJzL2Rvd25yZXYueG1sUEsFBgAAAAAEAAQA&#10;8wAAAD0FAAAAAA==&#10;" strokecolor="#010000" strokeweight=".25pt"/>
                  </w:pict>
                </mc:Fallback>
              </mc:AlternateContent>
            </w:r>
            <w:r w:rsidR="00373652" w:rsidRPr="003A7309">
              <w:rPr>
                <w:b/>
                <w:bCs/>
                <w:sz w:val="17"/>
                <w:szCs w:val="17"/>
                <w:lang w:eastAsia="en-GB"/>
              </w:rPr>
              <w:t>153 046.0</w:t>
            </w:r>
          </w:p>
        </w:tc>
        <w:tc>
          <w:tcPr>
            <w:tcW w:w="1194" w:type="dxa"/>
            <w:tcBorders>
              <w:top w:val="single" w:sz="4" w:space="0" w:color="auto"/>
              <w:bottom w:val="single" w:sz="12" w:space="0" w:color="auto"/>
            </w:tcBorders>
            <w:shd w:val="clear" w:color="auto" w:fill="auto"/>
            <w:vAlign w:val="bottom"/>
          </w:tcPr>
          <w:p w:rsidR="00373652" w:rsidRPr="003A7309" w:rsidRDefault="00373652" w:rsidP="00E731AF">
            <w:pPr>
              <w:widowControl w:val="0"/>
              <w:spacing w:before="81" w:after="81" w:line="240" w:lineRule="auto"/>
              <w:ind w:left="27" w:right="43"/>
              <w:jc w:val="right"/>
              <w:rPr>
                <w:b/>
                <w:bCs/>
                <w:sz w:val="17"/>
                <w:szCs w:val="17"/>
                <w:lang w:eastAsia="en-GB"/>
              </w:rPr>
            </w:pPr>
            <w:r w:rsidRPr="003A7309">
              <w:rPr>
                <w:b/>
                <w:bCs/>
                <w:sz w:val="17"/>
                <w:szCs w:val="17"/>
                <w:lang w:eastAsia="en-GB"/>
              </w:rPr>
              <w:t>99 661.1</w:t>
            </w:r>
          </w:p>
        </w:tc>
        <w:tc>
          <w:tcPr>
            <w:tcW w:w="1302" w:type="dxa"/>
            <w:tcBorders>
              <w:top w:val="single" w:sz="4" w:space="0" w:color="auto"/>
              <w:bottom w:val="single" w:sz="12" w:space="0" w:color="auto"/>
            </w:tcBorders>
            <w:shd w:val="clear" w:color="auto" w:fill="auto"/>
            <w:vAlign w:val="bottom"/>
          </w:tcPr>
          <w:p w:rsidR="00373652" w:rsidRPr="003A7309" w:rsidRDefault="00373652" w:rsidP="00E731AF">
            <w:pPr>
              <w:widowControl w:val="0"/>
              <w:spacing w:before="81" w:after="81" w:line="240" w:lineRule="auto"/>
              <w:ind w:left="27" w:right="43"/>
              <w:jc w:val="right"/>
              <w:rPr>
                <w:b/>
                <w:bCs/>
                <w:sz w:val="17"/>
                <w:szCs w:val="17"/>
                <w:lang w:eastAsia="en-GB"/>
              </w:rPr>
            </w:pPr>
            <w:r w:rsidRPr="003A7309">
              <w:rPr>
                <w:b/>
                <w:bCs/>
                <w:sz w:val="17"/>
                <w:szCs w:val="17"/>
                <w:lang w:eastAsia="en-GB"/>
              </w:rPr>
              <w:t>79 213.8</w:t>
            </w:r>
          </w:p>
        </w:tc>
        <w:tc>
          <w:tcPr>
            <w:tcW w:w="1087" w:type="dxa"/>
            <w:tcBorders>
              <w:top w:val="single" w:sz="4" w:space="0" w:color="auto"/>
              <w:bottom w:val="single" w:sz="12" w:space="0" w:color="auto"/>
            </w:tcBorders>
            <w:shd w:val="clear" w:color="auto" w:fill="auto"/>
            <w:vAlign w:val="bottom"/>
          </w:tcPr>
          <w:p w:rsidR="00373652" w:rsidRPr="003A7309" w:rsidRDefault="00373652" w:rsidP="00E731AF">
            <w:pPr>
              <w:widowControl w:val="0"/>
              <w:spacing w:before="81" w:after="81" w:line="240" w:lineRule="auto"/>
              <w:ind w:left="27" w:right="43"/>
              <w:jc w:val="right"/>
              <w:rPr>
                <w:b/>
                <w:bCs/>
                <w:sz w:val="17"/>
                <w:szCs w:val="17"/>
                <w:lang w:eastAsia="en-GB"/>
              </w:rPr>
            </w:pPr>
            <w:r w:rsidRPr="003A7309">
              <w:rPr>
                <w:b/>
                <w:bCs/>
                <w:sz w:val="17"/>
                <w:szCs w:val="17"/>
                <w:lang w:eastAsia="en-GB"/>
              </w:rPr>
              <w:t>178 874.9</w:t>
            </w:r>
          </w:p>
        </w:tc>
        <w:tc>
          <w:tcPr>
            <w:tcW w:w="1195" w:type="dxa"/>
            <w:tcBorders>
              <w:top w:val="single" w:sz="4" w:space="0" w:color="auto"/>
              <w:bottom w:val="single" w:sz="12" w:space="0" w:color="auto"/>
            </w:tcBorders>
            <w:shd w:val="clear" w:color="auto" w:fill="auto"/>
            <w:vAlign w:val="bottom"/>
          </w:tcPr>
          <w:p w:rsidR="00373652" w:rsidRPr="003A7309" w:rsidRDefault="00373652" w:rsidP="00E731AF">
            <w:pPr>
              <w:widowControl w:val="0"/>
              <w:spacing w:before="81" w:after="81" w:line="240" w:lineRule="auto"/>
              <w:ind w:left="27" w:right="43"/>
              <w:jc w:val="right"/>
              <w:rPr>
                <w:b/>
                <w:bCs/>
                <w:sz w:val="17"/>
                <w:szCs w:val="17"/>
                <w:lang w:eastAsia="en-GB"/>
              </w:rPr>
            </w:pPr>
            <w:r w:rsidRPr="003A7309">
              <w:rPr>
                <w:b/>
                <w:bCs/>
                <w:sz w:val="17"/>
                <w:szCs w:val="17"/>
                <w:lang w:eastAsia="en-GB"/>
              </w:rPr>
              <w:t>25 828.9</w:t>
            </w:r>
          </w:p>
        </w:tc>
      </w:tr>
      <w:bookmarkEnd w:id="2"/>
    </w:tbl>
    <w:p w:rsidR="00DD6E6F" w:rsidRPr="00E731AF" w:rsidRDefault="00DD6E6F" w:rsidP="00E731AF">
      <w:pPr>
        <w:pStyle w:val="SingleTxt"/>
        <w:spacing w:after="0" w:line="240" w:lineRule="auto"/>
        <w:rPr>
          <w:b/>
          <w:bCs/>
          <w:sz w:val="2"/>
        </w:rPr>
      </w:pPr>
    </w:p>
    <w:sectPr w:rsidR="00DD6E6F" w:rsidRPr="00E731AF" w:rsidSect="00E40D3B">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1T17:20:00Z" w:initials="Start">
    <w:p w:rsidR="00961712" w:rsidRDefault="009617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NO&gt;&gt;N1643198E&lt;&lt;ODS JOB NO&gt;&gt;</w:t>
      </w:r>
    </w:p>
    <w:p w:rsidR="00961712" w:rsidRDefault="00961712">
      <w:pPr>
        <w:pStyle w:val="CommentText"/>
      </w:pPr>
      <w:r>
        <w:t>&lt;&lt;ODS DOC SYMBOL1&gt;&gt;A/71/676&lt;&lt;ODS DOC SYMBOL1&gt;&gt;</w:t>
      </w:r>
    </w:p>
    <w:p w:rsidR="00961712" w:rsidRDefault="0096171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12" w:rsidRDefault="00961712" w:rsidP="000548B1">
      <w:pPr>
        <w:spacing w:line="240" w:lineRule="auto"/>
      </w:pPr>
      <w:r>
        <w:separator/>
      </w:r>
    </w:p>
  </w:endnote>
  <w:endnote w:type="continuationSeparator" w:id="0">
    <w:p w:rsidR="00961712" w:rsidRDefault="00961712"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61712" w:rsidTr="00E40D3B">
      <w:tc>
        <w:tcPr>
          <w:tcW w:w="5028" w:type="dxa"/>
          <w:shd w:val="clear" w:color="auto" w:fill="auto"/>
        </w:tcPr>
        <w:p w:rsidR="00961712" w:rsidRPr="00E40D3B" w:rsidRDefault="00961712" w:rsidP="00E40D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4F18">
            <w:rPr>
              <w:b w:val="0"/>
              <w:w w:val="103"/>
              <w:sz w:val="14"/>
            </w:rPr>
            <w:t>16-21894</w:t>
          </w:r>
          <w:r>
            <w:rPr>
              <w:b w:val="0"/>
              <w:w w:val="103"/>
              <w:sz w:val="14"/>
            </w:rPr>
            <w:fldChar w:fldCharType="end"/>
          </w:r>
        </w:p>
      </w:tc>
      <w:tc>
        <w:tcPr>
          <w:tcW w:w="5028" w:type="dxa"/>
          <w:shd w:val="clear" w:color="auto" w:fill="auto"/>
        </w:tcPr>
        <w:p w:rsidR="00961712" w:rsidRPr="00E40D3B" w:rsidRDefault="00961712" w:rsidP="00E40D3B">
          <w:pPr>
            <w:pStyle w:val="Footer"/>
            <w:rPr>
              <w:w w:val="103"/>
            </w:rPr>
          </w:pPr>
          <w:r>
            <w:rPr>
              <w:w w:val="103"/>
            </w:rPr>
            <w:fldChar w:fldCharType="begin"/>
          </w:r>
          <w:r>
            <w:rPr>
              <w:w w:val="103"/>
            </w:rPr>
            <w:instrText xml:space="preserve"> PAGE  \* Arabic  \* MERGEFORMAT </w:instrText>
          </w:r>
          <w:r>
            <w:rPr>
              <w:w w:val="103"/>
            </w:rPr>
            <w:fldChar w:fldCharType="separate"/>
          </w:r>
          <w:r w:rsidR="00516D6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16D6A">
            <w:rPr>
              <w:w w:val="103"/>
            </w:rPr>
            <w:t>2</w:t>
          </w:r>
          <w:r>
            <w:rPr>
              <w:w w:val="103"/>
            </w:rPr>
            <w:fldChar w:fldCharType="end"/>
          </w:r>
        </w:p>
      </w:tc>
    </w:tr>
  </w:tbl>
  <w:p w:rsidR="00961712" w:rsidRPr="00E40D3B" w:rsidRDefault="00961712" w:rsidP="00E40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61712" w:rsidTr="00E40D3B">
      <w:tc>
        <w:tcPr>
          <w:tcW w:w="5028" w:type="dxa"/>
          <w:shd w:val="clear" w:color="auto" w:fill="auto"/>
        </w:tcPr>
        <w:p w:rsidR="00961712" w:rsidRPr="00E40D3B" w:rsidRDefault="00961712" w:rsidP="00E40D3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F3F88">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3F88">
            <w:rPr>
              <w:w w:val="103"/>
            </w:rPr>
            <w:t>12</w:t>
          </w:r>
          <w:r>
            <w:rPr>
              <w:w w:val="103"/>
            </w:rPr>
            <w:fldChar w:fldCharType="end"/>
          </w:r>
        </w:p>
      </w:tc>
      <w:tc>
        <w:tcPr>
          <w:tcW w:w="5028" w:type="dxa"/>
          <w:shd w:val="clear" w:color="auto" w:fill="auto"/>
        </w:tcPr>
        <w:p w:rsidR="00961712" w:rsidRPr="00E40D3B" w:rsidRDefault="00961712" w:rsidP="00E40D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4F18">
            <w:rPr>
              <w:b w:val="0"/>
              <w:w w:val="103"/>
              <w:sz w:val="14"/>
            </w:rPr>
            <w:t>16-21894</w:t>
          </w:r>
          <w:r>
            <w:rPr>
              <w:b w:val="0"/>
              <w:w w:val="103"/>
              <w:sz w:val="14"/>
            </w:rPr>
            <w:fldChar w:fldCharType="end"/>
          </w:r>
        </w:p>
      </w:tc>
    </w:tr>
  </w:tbl>
  <w:p w:rsidR="00961712" w:rsidRPr="00E40D3B" w:rsidRDefault="00961712" w:rsidP="00E4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61712" w:rsidTr="00E40D3B">
      <w:tc>
        <w:tcPr>
          <w:tcW w:w="3801" w:type="dxa"/>
        </w:tcPr>
        <w:p w:rsidR="00961712" w:rsidRDefault="00961712" w:rsidP="00306E0D">
          <w:pPr>
            <w:pStyle w:val="ReleaseDate"/>
          </w:pPr>
          <w:r>
            <w:rPr>
              <w:noProof/>
              <w:lang w:eastAsia="en-GB"/>
            </w:rPr>
            <w:drawing>
              <wp:anchor distT="0" distB="0" distL="114300" distR="114300" simplePos="0" relativeHeight="251658240" behindDoc="0" locked="0" layoutInCell="1" allowOverlap="1" wp14:anchorId="23812F4E" wp14:editId="2E0082A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67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67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16-21894 (E)    121216    </w:t>
          </w:r>
        </w:p>
        <w:p w:rsidR="00961712" w:rsidRPr="00E40D3B" w:rsidRDefault="00961712" w:rsidP="00E40D3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*1621894*</w:t>
          </w:r>
        </w:p>
      </w:tc>
      <w:tc>
        <w:tcPr>
          <w:tcW w:w="5028" w:type="dxa"/>
        </w:tcPr>
        <w:p w:rsidR="00961712" w:rsidRDefault="00961712" w:rsidP="00E40D3B">
          <w:pPr>
            <w:pStyle w:val="Footer"/>
            <w:jc w:val="right"/>
            <w:rPr>
              <w:b w:val="0"/>
              <w:sz w:val="20"/>
            </w:rPr>
          </w:pPr>
          <w:r>
            <w:rPr>
              <w:b w:val="0"/>
              <w:sz w:val="20"/>
              <w:lang w:val="en-GB" w:eastAsia="en-GB"/>
            </w:rPr>
            <w:drawing>
              <wp:inline distT="0" distB="0" distL="0" distR="0" wp14:anchorId="64A106CD" wp14:editId="108EC0E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61712" w:rsidRPr="00E40D3B" w:rsidRDefault="00961712" w:rsidP="00E40D3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12" w:rsidRPr="003D6354" w:rsidRDefault="00961712" w:rsidP="003D6354">
      <w:pPr>
        <w:pStyle w:val="Footer"/>
        <w:spacing w:after="80"/>
        <w:ind w:left="792"/>
        <w:rPr>
          <w:sz w:val="16"/>
        </w:rPr>
      </w:pPr>
      <w:r w:rsidRPr="003D6354">
        <w:rPr>
          <w:sz w:val="16"/>
        </w:rPr>
        <w:t>__________________</w:t>
      </w:r>
    </w:p>
  </w:footnote>
  <w:footnote w:type="continuationSeparator" w:id="0">
    <w:p w:rsidR="00961712" w:rsidRPr="003D6354" w:rsidRDefault="00961712" w:rsidP="003D6354">
      <w:pPr>
        <w:pStyle w:val="Footer"/>
        <w:spacing w:after="80"/>
        <w:ind w:left="792"/>
        <w:rPr>
          <w:sz w:val="16"/>
        </w:rPr>
      </w:pPr>
      <w:r w:rsidRPr="003D6354">
        <w:rPr>
          <w:sz w:val="16"/>
        </w:rPr>
        <w:t>__________________</w:t>
      </w:r>
    </w:p>
  </w:footnote>
  <w:footnote w:id="1">
    <w:p w:rsidR="00961712" w:rsidRPr="003D6354" w:rsidRDefault="00961712" w:rsidP="003D63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D6354">
        <w:t>The six themes of the handover plan are: social cohesion; human rights and transitional justice; security sector reform; disarmament, demobilization and reintegration, weapons management and civilian disarmament; defence, security and law enforcement; and communications, in particular with regard to the Operation’s radio station, ONUCI 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61712" w:rsidTr="00E40D3B">
      <w:trPr>
        <w:trHeight w:hRule="exact" w:val="864"/>
      </w:trPr>
      <w:tc>
        <w:tcPr>
          <w:tcW w:w="4838" w:type="dxa"/>
          <w:shd w:val="clear" w:color="auto" w:fill="auto"/>
          <w:vAlign w:val="bottom"/>
        </w:tcPr>
        <w:p w:rsidR="00961712" w:rsidRPr="00E40D3B" w:rsidRDefault="00961712" w:rsidP="00E40D3B">
          <w:pPr>
            <w:pStyle w:val="Header"/>
            <w:spacing w:after="80"/>
            <w:rPr>
              <w:b/>
            </w:rPr>
          </w:pPr>
          <w:r>
            <w:rPr>
              <w:b/>
            </w:rPr>
            <w:fldChar w:fldCharType="begin"/>
          </w:r>
          <w:r>
            <w:rPr>
              <w:b/>
            </w:rPr>
            <w:instrText xml:space="preserve"> DOCVARIABLE "sss1" \* MERGEFORMAT </w:instrText>
          </w:r>
          <w:r>
            <w:rPr>
              <w:b/>
            </w:rPr>
            <w:fldChar w:fldCharType="separate"/>
          </w:r>
          <w:r w:rsidR="00024F18">
            <w:rPr>
              <w:b/>
            </w:rPr>
            <w:t>A/71/676</w:t>
          </w:r>
          <w:r>
            <w:rPr>
              <w:b/>
            </w:rPr>
            <w:fldChar w:fldCharType="end"/>
          </w:r>
        </w:p>
      </w:tc>
      <w:tc>
        <w:tcPr>
          <w:tcW w:w="5028" w:type="dxa"/>
          <w:shd w:val="clear" w:color="auto" w:fill="auto"/>
          <w:vAlign w:val="bottom"/>
        </w:tcPr>
        <w:p w:rsidR="00961712" w:rsidRDefault="00961712" w:rsidP="00E40D3B">
          <w:pPr>
            <w:pStyle w:val="Header"/>
          </w:pPr>
        </w:p>
      </w:tc>
    </w:tr>
  </w:tbl>
  <w:p w:rsidR="00961712" w:rsidRPr="00E40D3B" w:rsidRDefault="00961712" w:rsidP="00E4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61712" w:rsidTr="00E40D3B">
      <w:trPr>
        <w:trHeight w:hRule="exact" w:val="864"/>
      </w:trPr>
      <w:tc>
        <w:tcPr>
          <w:tcW w:w="4838" w:type="dxa"/>
          <w:shd w:val="clear" w:color="auto" w:fill="auto"/>
          <w:vAlign w:val="bottom"/>
        </w:tcPr>
        <w:p w:rsidR="00961712" w:rsidRDefault="00961712" w:rsidP="00E40D3B">
          <w:pPr>
            <w:pStyle w:val="Header"/>
          </w:pPr>
        </w:p>
      </w:tc>
      <w:tc>
        <w:tcPr>
          <w:tcW w:w="5028" w:type="dxa"/>
          <w:shd w:val="clear" w:color="auto" w:fill="auto"/>
          <w:vAlign w:val="bottom"/>
        </w:tcPr>
        <w:p w:rsidR="00961712" w:rsidRPr="00E40D3B" w:rsidRDefault="00961712" w:rsidP="00E40D3B">
          <w:pPr>
            <w:pStyle w:val="Header"/>
            <w:spacing w:after="80"/>
            <w:jc w:val="right"/>
            <w:rPr>
              <w:b/>
            </w:rPr>
          </w:pPr>
          <w:r>
            <w:rPr>
              <w:b/>
            </w:rPr>
            <w:fldChar w:fldCharType="begin"/>
          </w:r>
          <w:r>
            <w:rPr>
              <w:b/>
            </w:rPr>
            <w:instrText xml:space="preserve"> DOCVARIABLE "sss1" \* MERGEFORMAT </w:instrText>
          </w:r>
          <w:r>
            <w:rPr>
              <w:b/>
            </w:rPr>
            <w:fldChar w:fldCharType="separate"/>
          </w:r>
          <w:r w:rsidR="00024F18">
            <w:rPr>
              <w:b/>
            </w:rPr>
            <w:t>A/71/676</w:t>
          </w:r>
          <w:r>
            <w:rPr>
              <w:b/>
            </w:rPr>
            <w:fldChar w:fldCharType="end"/>
          </w:r>
        </w:p>
      </w:tc>
    </w:tr>
  </w:tbl>
  <w:p w:rsidR="00961712" w:rsidRPr="00E40D3B" w:rsidRDefault="00961712" w:rsidP="00E40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61712" w:rsidTr="00E40D3B">
      <w:trPr>
        <w:trHeight w:hRule="exact" w:val="864"/>
      </w:trPr>
      <w:tc>
        <w:tcPr>
          <w:tcW w:w="1267" w:type="dxa"/>
          <w:tcBorders>
            <w:bottom w:val="single" w:sz="4" w:space="0" w:color="auto"/>
          </w:tcBorders>
          <w:shd w:val="clear" w:color="auto" w:fill="auto"/>
          <w:vAlign w:val="bottom"/>
        </w:tcPr>
        <w:p w:rsidR="00961712" w:rsidRDefault="00961712" w:rsidP="00E40D3B">
          <w:pPr>
            <w:pStyle w:val="Header"/>
            <w:spacing w:after="120"/>
          </w:pPr>
        </w:p>
      </w:tc>
      <w:tc>
        <w:tcPr>
          <w:tcW w:w="1872" w:type="dxa"/>
          <w:tcBorders>
            <w:bottom w:val="single" w:sz="4" w:space="0" w:color="auto"/>
          </w:tcBorders>
          <w:shd w:val="clear" w:color="auto" w:fill="auto"/>
          <w:vAlign w:val="bottom"/>
        </w:tcPr>
        <w:p w:rsidR="00961712" w:rsidRPr="00E40D3B" w:rsidRDefault="00961712" w:rsidP="00E40D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61712" w:rsidRDefault="00961712" w:rsidP="00E40D3B">
          <w:pPr>
            <w:pStyle w:val="Header"/>
            <w:spacing w:after="120"/>
          </w:pPr>
        </w:p>
      </w:tc>
      <w:tc>
        <w:tcPr>
          <w:tcW w:w="6523" w:type="dxa"/>
          <w:gridSpan w:val="4"/>
          <w:tcBorders>
            <w:bottom w:val="single" w:sz="4" w:space="0" w:color="auto"/>
          </w:tcBorders>
          <w:shd w:val="clear" w:color="auto" w:fill="auto"/>
          <w:vAlign w:val="bottom"/>
        </w:tcPr>
        <w:p w:rsidR="00961712" w:rsidRPr="00E40D3B" w:rsidRDefault="00961712" w:rsidP="00E40D3B">
          <w:pPr>
            <w:spacing w:after="80" w:line="240" w:lineRule="auto"/>
            <w:jc w:val="right"/>
            <w:rPr>
              <w:position w:val="-4"/>
            </w:rPr>
          </w:pPr>
          <w:r>
            <w:rPr>
              <w:position w:val="-4"/>
              <w:sz w:val="40"/>
            </w:rPr>
            <w:t>A</w:t>
          </w:r>
          <w:r>
            <w:rPr>
              <w:position w:val="-4"/>
            </w:rPr>
            <w:t>/71/676</w:t>
          </w:r>
        </w:p>
      </w:tc>
    </w:tr>
    <w:tr w:rsidR="00961712" w:rsidRPr="00E40D3B" w:rsidTr="00E40D3B">
      <w:trPr>
        <w:gridAfter w:val="1"/>
        <w:wAfter w:w="28" w:type="dxa"/>
        <w:trHeight w:hRule="exact" w:val="2880"/>
      </w:trPr>
      <w:tc>
        <w:tcPr>
          <w:tcW w:w="1267" w:type="dxa"/>
          <w:tcBorders>
            <w:top w:val="single" w:sz="4" w:space="0" w:color="auto"/>
            <w:bottom w:val="single" w:sz="12" w:space="0" w:color="auto"/>
          </w:tcBorders>
          <w:shd w:val="clear" w:color="auto" w:fill="auto"/>
        </w:tcPr>
        <w:p w:rsidR="00961712" w:rsidRPr="00E40D3B" w:rsidRDefault="00961712" w:rsidP="00E40D3B">
          <w:pPr>
            <w:pStyle w:val="Header"/>
            <w:spacing w:before="120"/>
            <w:jc w:val="center"/>
          </w:pPr>
          <w:r>
            <w:t xml:space="preserve"> </w:t>
          </w:r>
          <w:r>
            <w:rPr>
              <w:lang w:val="en-GB" w:eastAsia="en-GB"/>
            </w:rPr>
            <w:drawing>
              <wp:inline distT="0" distB="0" distL="0" distR="0" wp14:anchorId="681F3714" wp14:editId="1090F1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61712" w:rsidRPr="00E40D3B" w:rsidRDefault="00961712" w:rsidP="00E40D3B">
          <w:pPr>
            <w:pStyle w:val="XLarge"/>
            <w:spacing w:before="109"/>
          </w:pPr>
          <w:r>
            <w:t>General Assembly</w:t>
          </w:r>
        </w:p>
      </w:tc>
      <w:tc>
        <w:tcPr>
          <w:tcW w:w="245" w:type="dxa"/>
          <w:tcBorders>
            <w:top w:val="single" w:sz="4" w:space="0" w:color="auto"/>
            <w:bottom w:val="single" w:sz="12" w:space="0" w:color="auto"/>
          </w:tcBorders>
          <w:shd w:val="clear" w:color="auto" w:fill="auto"/>
        </w:tcPr>
        <w:p w:rsidR="00961712" w:rsidRPr="00E40D3B" w:rsidRDefault="00961712" w:rsidP="00E40D3B">
          <w:pPr>
            <w:pStyle w:val="Header"/>
            <w:spacing w:before="109"/>
          </w:pPr>
        </w:p>
      </w:tc>
      <w:tc>
        <w:tcPr>
          <w:tcW w:w="3140" w:type="dxa"/>
          <w:tcBorders>
            <w:top w:val="single" w:sz="4" w:space="0" w:color="auto"/>
            <w:bottom w:val="single" w:sz="12" w:space="0" w:color="auto"/>
          </w:tcBorders>
          <w:shd w:val="clear" w:color="auto" w:fill="auto"/>
        </w:tcPr>
        <w:p w:rsidR="00961712" w:rsidRDefault="00961712" w:rsidP="00E40D3B">
          <w:pPr>
            <w:pStyle w:val="Distribution"/>
            <w:rPr>
              <w:color w:val="010000"/>
            </w:rPr>
          </w:pPr>
          <w:r>
            <w:rPr>
              <w:color w:val="010000"/>
            </w:rPr>
            <w:t>Distr.: General</w:t>
          </w:r>
        </w:p>
        <w:p w:rsidR="00961712" w:rsidRDefault="00961712" w:rsidP="00E40D3B">
          <w:pPr>
            <w:pStyle w:val="Publication"/>
            <w:rPr>
              <w:color w:val="010000"/>
            </w:rPr>
          </w:pPr>
          <w:r>
            <w:rPr>
              <w:color w:val="010000"/>
            </w:rPr>
            <w:t>9 December 2016</w:t>
          </w:r>
        </w:p>
        <w:p w:rsidR="00961712" w:rsidRDefault="00961712" w:rsidP="00E40D3B"/>
        <w:p w:rsidR="00961712" w:rsidRDefault="00961712" w:rsidP="00E40D3B">
          <w:pPr>
            <w:pStyle w:val="Original"/>
            <w:rPr>
              <w:color w:val="010000"/>
            </w:rPr>
          </w:pPr>
          <w:r>
            <w:rPr>
              <w:color w:val="010000"/>
            </w:rPr>
            <w:t>Original: English</w:t>
          </w:r>
        </w:p>
        <w:p w:rsidR="00961712" w:rsidRPr="00E40D3B" w:rsidRDefault="00961712" w:rsidP="00E40D3B"/>
      </w:tc>
    </w:tr>
  </w:tbl>
  <w:p w:rsidR="00961712" w:rsidRPr="00E40D3B" w:rsidRDefault="00961712" w:rsidP="00E40D3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894*"/>
    <w:docVar w:name="CreationDt" w:val="11/12/2016 5:20: PM"/>
    <w:docVar w:name="DocCategory" w:val="Doc"/>
    <w:docVar w:name="DocType" w:val="Final"/>
    <w:docVar w:name="DutyStation" w:val="New York"/>
    <w:docVar w:name="FooterJN" w:val="16-21894"/>
    <w:docVar w:name="jobn" w:val="16-21894 (E)"/>
    <w:docVar w:name="jobnDT" w:val="16-21894 (E)   111216"/>
    <w:docVar w:name="jobnDTDT" w:val="16-21894 (E)   111216   111216"/>
    <w:docVar w:name="JobNo" w:val="1621894E"/>
    <w:docVar w:name="JobNo2" w:val="1643198E"/>
    <w:docVar w:name="LocalDrive" w:val="0"/>
    <w:docVar w:name="OandT" w:val="mr"/>
    <w:docVar w:name="sss1" w:val="A/71/676"/>
    <w:docVar w:name="sss2" w:val="-"/>
    <w:docVar w:name="Symbol1" w:val="A/71/676"/>
    <w:docVar w:name="Symbol2" w:val="-"/>
  </w:docVars>
  <w:rsids>
    <w:rsidRoot w:val="009F39AF"/>
    <w:rsid w:val="00023C01"/>
    <w:rsid w:val="00024F18"/>
    <w:rsid w:val="00026F36"/>
    <w:rsid w:val="00042A9F"/>
    <w:rsid w:val="00046C55"/>
    <w:rsid w:val="000548B1"/>
    <w:rsid w:val="000A431F"/>
    <w:rsid w:val="000D7549"/>
    <w:rsid w:val="00104F51"/>
    <w:rsid w:val="0011385C"/>
    <w:rsid w:val="00136B32"/>
    <w:rsid w:val="00140E08"/>
    <w:rsid w:val="001528FB"/>
    <w:rsid w:val="0015321C"/>
    <w:rsid w:val="001D051A"/>
    <w:rsid w:val="00215E9E"/>
    <w:rsid w:val="0023372E"/>
    <w:rsid w:val="0024119C"/>
    <w:rsid w:val="002A594B"/>
    <w:rsid w:val="00306E0D"/>
    <w:rsid w:val="003436DF"/>
    <w:rsid w:val="00351E1D"/>
    <w:rsid w:val="00373652"/>
    <w:rsid w:val="00387283"/>
    <w:rsid w:val="003A103A"/>
    <w:rsid w:val="003A7309"/>
    <w:rsid w:val="003D6354"/>
    <w:rsid w:val="003E23A8"/>
    <w:rsid w:val="003E2C0A"/>
    <w:rsid w:val="00401B15"/>
    <w:rsid w:val="00422616"/>
    <w:rsid w:val="00435CFC"/>
    <w:rsid w:val="00450A05"/>
    <w:rsid w:val="00462179"/>
    <w:rsid w:val="0047615F"/>
    <w:rsid w:val="004A0083"/>
    <w:rsid w:val="004C61D9"/>
    <w:rsid w:val="004E339B"/>
    <w:rsid w:val="004F3F88"/>
    <w:rsid w:val="00507E56"/>
    <w:rsid w:val="00516431"/>
    <w:rsid w:val="00516D6A"/>
    <w:rsid w:val="005221D8"/>
    <w:rsid w:val="005305E3"/>
    <w:rsid w:val="00591617"/>
    <w:rsid w:val="005C5E19"/>
    <w:rsid w:val="005D3979"/>
    <w:rsid w:val="005E0A8E"/>
    <w:rsid w:val="00602346"/>
    <w:rsid w:val="006440C2"/>
    <w:rsid w:val="00666219"/>
    <w:rsid w:val="006715AF"/>
    <w:rsid w:val="006A44BD"/>
    <w:rsid w:val="006F43A4"/>
    <w:rsid w:val="006F61C2"/>
    <w:rsid w:val="0074471D"/>
    <w:rsid w:val="00766083"/>
    <w:rsid w:val="007857F3"/>
    <w:rsid w:val="007A3D9A"/>
    <w:rsid w:val="007B1D8D"/>
    <w:rsid w:val="00835245"/>
    <w:rsid w:val="0084643C"/>
    <w:rsid w:val="00862AFE"/>
    <w:rsid w:val="008719A4"/>
    <w:rsid w:val="00887C83"/>
    <w:rsid w:val="008903A9"/>
    <w:rsid w:val="00893D16"/>
    <w:rsid w:val="008A40B9"/>
    <w:rsid w:val="008B0D9E"/>
    <w:rsid w:val="008F7526"/>
    <w:rsid w:val="009009FE"/>
    <w:rsid w:val="00910A8B"/>
    <w:rsid w:val="00951531"/>
    <w:rsid w:val="00961712"/>
    <w:rsid w:val="009620BF"/>
    <w:rsid w:val="00967DC6"/>
    <w:rsid w:val="009905DD"/>
    <w:rsid w:val="00996869"/>
    <w:rsid w:val="009B62B9"/>
    <w:rsid w:val="009C2D39"/>
    <w:rsid w:val="009C502F"/>
    <w:rsid w:val="009D12BB"/>
    <w:rsid w:val="009D2840"/>
    <w:rsid w:val="009F39AF"/>
    <w:rsid w:val="00A104F7"/>
    <w:rsid w:val="00A12AD5"/>
    <w:rsid w:val="00A15844"/>
    <w:rsid w:val="00A50209"/>
    <w:rsid w:val="00A52C4A"/>
    <w:rsid w:val="00A91EBA"/>
    <w:rsid w:val="00A97F63"/>
    <w:rsid w:val="00AA07EB"/>
    <w:rsid w:val="00AA49E5"/>
    <w:rsid w:val="00AF7333"/>
    <w:rsid w:val="00B20E21"/>
    <w:rsid w:val="00B316CD"/>
    <w:rsid w:val="00B41909"/>
    <w:rsid w:val="00B42CB2"/>
    <w:rsid w:val="00B615DE"/>
    <w:rsid w:val="00B8247E"/>
    <w:rsid w:val="00B830DF"/>
    <w:rsid w:val="00B83DAF"/>
    <w:rsid w:val="00B92BEE"/>
    <w:rsid w:val="00BA6617"/>
    <w:rsid w:val="00BB26DA"/>
    <w:rsid w:val="00BC1B90"/>
    <w:rsid w:val="00BE5856"/>
    <w:rsid w:val="00C021E0"/>
    <w:rsid w:val="00C46DBF"/>
    <w:rsid w:val="00C67B81"/>
    <w:rsid w:val="00CC783B"/>
    <w:rsid w:val="00CE3B8C"/>
    <w:rsid w:val="00D055EA"/>
    <w:rsid w:val="00D5252D"/>
    <w:rsid w:val="00DC3818"/>
    <w:rsid w:val="00DD03ED"/>
    <w:rsid w:val="00DD6E6F"/>
    <w:rsid w:val="00DE4E9A"/>
    <w:rsid w:val="00E0614A"/>
    <w:rsid w:val="00E10384"/>
    <w:rsid w:val="00E27116"/>
    <w:rsid w:val="00E27A16"/>
    <w:rsid w:val="00E355D6"/>
    <w:rsid w:val="00E35606"/>
    <w:rsid w:val="00E40D3B"/>
    <w:rsid w:val="00E711BA"/>
    <w:rsid w:val="00E731AF"/>
    <w:rsid w:val="00E85476"/>
    <w:rsid w:val="00EB1F9C"/>
    <w:rsid w:val="00EB3CFD"/>
    <w:rsid w:val="00EC05A0"/>
    <w:rsid w:val="00EE0518"/>
    <w:rsid w:val="00EF53E1"/>
    <w:rsid w:val="00F6397E"/>
    <w:rsid w:val="00F712E0"/>
    <w:rsid w:val="00FB0EB1"/>
    <w:rsid w:val="00FC14B4"/>
    <w:rsid w:val="00FC1EBF"/>
    <w:rsid w:val="00FD02D2"/>
    <w:rsid w:val="00FE4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E40D3B"/>
    <w:pPr>
      <w:spacing w:line="240" w:lineRule="auto"/>
    </w:pPr>
  </w:style>
  <w:style w:type="character" w:customStyle="1" w:styleId="CommentTextChar">
    <w:name w:val="Comment Text Char"/>
    <w:basedOn w:val="DefaultParagraphFont"/>
    <w:link w:val="CommentText"/>
    <w:uiPriority w:val="99"/>
    <w:semiHidden/>
    <w:rsid w:val="00E40D3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40D3B"/>
    <w:rPr>
      <w:b/>
      <w:bCs/>
    </w:rPr>
  </w:style>
  <w:style w:type="character" w:customStyle="1" w:styleId="CommentSubjectChar">
    <w:name w:val="Comment Subject Char"/>
    <w:basedOn w:val="CommentTextChar"/>
    <w:link w:val="CommentSubject"/>
    <w:uiPriority w:val="99"/>
    <w:semiHidden/>
    <w:rsid w:val="00E40D3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06E0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E40D3B"/>
    <w:pPr>
      <w:spacing w:line="240" w:lineRule="auto"/>
    </w:pPr>
  </w:style>
  <w:style w:type="character" w:customStyle="1" w:styleId="CommentTextChar">
    <w:name w:val="Comment Text Char"/>
    <w:basedOn w:val="DefaultParagraphFont"/>
    <w:link w:val="CommentText"/>
    <w:uiPriority w:val="99"/>
    <w:semiHidden/>
    <w:rsid w:val="00E40D3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40D3B"/>
    <w:rPr>
      <w:b/>
      <w:bCs/>
    </w:rPr>
  </w:style>
  <w:style w:type="character" w:customStyle="1" w:styleId="CommentSubjectChar">
    <w:name w:val="Comment Subject Char"/>
    <w:basedOn w:val="CommentTextChar"/>
    <w:link w:val="CommentSubject"/>
    <w:uiPriority w:val="99"/>
    <w:semiHidden/>
    <w:rsid w:val="00E40D3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06E0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A/70/753" TargetMode="External"/><Relationship Id="rId26" Type="http://schemas.openxmlformats.org/officeDocument/2006/relationships/hyperlink" Target="http://undocs.org/S/RES/2284(2016)" TargetMode="External"/><Relationship Id="rId39" Type="http://schemas.openxmlformats.org/officeDocument/2006/relationships/hyperlink" Target="http://undocs.org/S/RES/2284(2016)" TargetMode="External"/><Relationship Id="rId21" Type="http://schemas.openxmlformats.org/officeDocument/2006/relationships/hyperlink" Target="http://undocs.org/A/70/742/Add.13" TargetMode="External"/><Relationship Id="rId34" Type="http://schemas.openxmlformats.org/officeDocument/2006/relationships/hyperlink" Target="http://undocs.org/A/71/599" TargetMode="External"/><Relationship Id="rId42" Type="http://schemas.openxmlformats.org/officeDocument/2006/relationships/hyperlink" Target="http://undocs.org/A/71/599" TargetMode="External"/><Relationship Id="rId47" Type="http://schemas.openxmlformats.org/officeDocument/2006/relationships/hyperlink" Target="http://undocs.org/A/71/599" TargetMode="External"/><Relationship Id="rId50" Type="http://schemas.openxmlformats.org/officeDocument/2006/relationships/hyperlink" Target="http://undocs.org/A/71/59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71/599" TargetMode="External"/><Relationship Id="rId25" Type="http://schemas.openxmlformats.org/officeDocument/2006/relationships/hyperlink" Target="http://undocs.org/S/RES/2284(2016)" TargetMode="External"/><Relationship Id="rId33" Type="http://schemas.openxmlformats.org/officeDocument/2006/relationships/hyperlink" Target="http://undocs.org/A/71/599" TargetMode="External"/><Relationship Id="rId38" Type="http://schemas.openxmlformats.org/officeDocument/2006/relationships/hyperlink" Target="http://undocs.org/A/71/599" TargetMode="External"/><Relationship Id="rId46" Type="http://schemas.openxmlformats.org/officeDocument/2006/relationships/hyperlink" Target="http://undocs.org/A/71/599" TargetMode="External"/><Relationship Id="rId2" Type="http://schemas.openxmlformats.org/officeDocument/2006/relationships/numbering" Target="numbering.xml"/><Relationship Id="rId16" Type="http://schemas.openxmlformats.org/officeDocument/2006/relationships/hyperlink" Target="http://undocs.org/A/71/599" TargetMode="External"/><Relationship Id="rId20" Type="http://schemas.openxmlformats.org/officeDocument/2006/relationships/hyperlink" Target="http://undocs.org/S/RES/2284(2016)" TargetMode="External"/><Relationship Id="rId29" Type="http://schemas.openxmlformats.org/officeDocument/2006/relationships/hyperlink" Target="http://undocs.org/S/RES/2284(2016)" TargetMode="External"/><Relationship Id="rId41" Type="http://schemas.openxmlformats.org/officeDocument/2006/relationships/hyperlink" Target="http://undocs.org/A/RES/70/28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RES/2284(2016)" TargetMode="External"/><Relationship Id="rId32" Type="http://schemas.openxmlformats.org/officeDocument/2006/relationships/hyperlink" Target="http://undocs.org/A/71/599" TargetMode="External"/><Relationship Id="rId37" Type="http://schemas.openxmlformats.org/officeDocument/2006/relationships/hyperlink" Target="http://undocs.org/A/71/599" TargetMode="External"/><Relationship Id="rId40" Type="http://schemas.openxmlformats.org/officeDocument/2006/relationships/hyperlink" Target="http://undocs.org/A/71/599" TargetMode="External"/><Relationship Id="rId45" Type="http://schemas.openxmlformats.org/officeDocument/2006/relationships/hyperlink" Target="http://undocs.org/A/RES/70/272" TargetMode="External"/><Relationship Id="rId53" Type="http://schemas.openxmlformats.org/officeDocument/2006/relationships/hyperlink" Target="http://undocs.org/A/RES/70/272"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RES/1528(2004)" TargetMode="External"/><Relationship Id="rId28" Type="http://schemas.openxmlformats.org/officeDocument/2006/relationships/hyperlink" Target="http://undocs.org/S/RES/2284(2016)" TargetMode="External"/><Relationship Id="rId36" Type="http://schemas.openxmlformats.org/officeDocument/2006/relationships/hyperlink" Target="http://undocs.org/A/71/599" TargetMode="External"/><Relationship Id="rId49" Type="http://schemas.openxmlformats.org/officeDocument/2006/relationships/hyperlink" Target="http://undocs.org/A/71/599" TargetMode="External"/><Relationship Id="rId10" Type="http://schemas.openxmlformats.org/officeDocument/2006/relationships/header" Target="header2.xml"/><Relationship Id="rId19" Type="http://schemas.openxmlformats.org/officeDocument/2006/relationships/hyperlink" Target="http://undocs.org/S/RES/2284(2016)" TargetMode="External"/><Relationship Id="rId31" Type="http://schemas.openxmlformats.org/officeDocument/2006/relationships/hyperlink" Target="http://undocs.org/A/RES/70/272" TargetMode="External"/><Relationship Id="rId44" Type="http://schemas.openxmlformats.org/officeDocument/2006/relationships/hyperlink" Target="http://undocs.org/A/71/599" TargetMode="External"/><Relationship Id="rId52" Type="http://schemas.openxmlformats.org/officeDocument/2006/relationships/hyperlink" Target="http://undocs.org/A/71/5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ES/70/272" TargetMode="External"/><Relationship Id="rId27" Type="http://schemas.openxmlformats.org/officeDocument/2006/relationships/hyperlink" Target="http://undocs.org/S/RES/2284(2016)" TargetMode="External"/><Relationship Id="rId30" Type="http://schemas.openxmlformats.org/officeDocument/2006/relationships/hyperlink" Target="http://undocs.org/A/71/599" TargetMode="External"/><Relationship Id="rId35" Type="http://schemas.openxmlformats.org/officeDocument/2006/relationships/hyperlink" Target="http://undocs.org/A/71/599" TargetMode="External"/><Relationship Id="rId43" Type="http://schemas.openxmlformats.org/officeDocument/2006/relationships/hyperlink" Target="http://undocs.org/A/RES/70/272" TargetMode="External"/><Relationship Id="rId48" Type="http://schemas.openxmlformats.org/officeDocument/2006/relationships/hyperlink" Target="http://undocs.org/A/71/599" TargetMode="External"/><Relationship Id="rId8" Type="http://schemas.openxmlformats.org/officeDocument/2006/relationships/endnotes" Target="endnotes.xml"/><Relationship Id="rId51" Type="http://schemas.openxmlformats.org/officeDocument/2006/relationships/hyperlink" Target="http://undocs.org/A/RES/70/286"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655B-6F03-4EC3-882F-50910C1B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Administrator</cp:lastModifiedBy>
  <cp:revision>13</cp:revision>
  <cp:lastPrinted>2016-12-12T20:06:00Z</cp:lastPrinted>
  <dcterms:created xsi:type="dcterms:W3CDTF">2016-12-12T18:37:00Z</dcterms:created>
  <dcterms:modified xsi:type="dcterms:W3CDTF">2016-12-12T21:14:00Z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1621894</vt:lpwstr>
  </property>
  <property fmtid="{D5CDD505-2E9C-101B-9397-08002B2CF9AE}" pid="3" name="ODSRefJobNo">
    <vt:lpwstr>1643198E</vt:lpwstr>
  </property>
  <property fmtid="{D5CDD505-2E9C-101B-9397-08002B2CF9AE}" pid="4" name="Symbol1">
    <vt:lpwstr>A/71/676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December 2016</vt:lpwstr>
  </property>
  <property fmtid="{D5CDD505-2E9C-101B-9397-08002B2CF9AE}" pid="9" name="Original">
    <vt:lpwstr>English</vt:lpwstr>
  </property>
  <property fmtid="{D5CDD505-2E9C-101B-9397-08002B2CF9AE}" pid="10" name="Release Date">
    <vt:lpwstr>111216</vt:lpwstr>
  </property>
  <property fmtid="{D5CDD505-2E9C-101B-9397-08002B2CF9AE}" pid="11" name="Comment">
    <vt:lpwstr/>
  </property>
  <property fmtid="{D5CDD505-2E9C-101B-9397-08002B2CF9AE}" pid="12" name="DraftPages">
    <vt:lpwstr>12 pgs (FINAL)</vt:lpwstr>
  </property>
  <property fmtid="{D5CDD505-2E9C-101B-9397-08002B2CF9AE}" pid="13" name="Operator">
    <vt:lpwstr>JG (F)</vt:lpwstr>
  </property>
</Properties>
</file>