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C1" w:rsidRPr="000E1D69" w:rsidRDefault="005E32C1" w:rsidP="005E32C1">
      <w:pPr>
        <w:spacing w:line="240" w:lineRule="auto"/>
        <w:rPr>
          <w:sz w:val="6"/>
        </w:rPr>
        <w:sectPr w:rsidR="005E32C1" w:rsidRPr="000E1D69" w:rsidSect="00BD1ED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61" w:left="1200" w:header="576" w:footer="1030" w:gutter="0"/>
          <w:cols w:space="720"/>
          <w:noEndnote/>
          <w:titlePg/>
          <w:docGrid w:linePitch="360"/>
        </w:sectPr>
      </w:pPr>
      <w:r w:rsidRPr="000E1D69">
        <w:rPr>
          <w:rStyle w:val="CommentReference"/>
          <w:szCs w:val="20"/>
        </w:rPr>
        <w:commentReference w:id="0"/>
      </w:r>
      <w:bookmarkStart w:id="1" w:name="_GoBack"/>
      <w:bookmarkEnd w:id="1"/>
    </w:p>
    <w:p w:rsidR="00AD6904" w:rsidRPr="000E1D69" w:rsidRDefault="00AD6904" w:rsidP="00AD69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E1D69">
        <w:lastRenderedPageBreak/>
        <w:t xml:space="preserve">Septuagésimo primer período de sesiones </w:t>
      </w:r>
    </w:p>
    <w:p w:rsidR="00AD6904" w:rsidRPr="000E1D69" w:rsidRDefault="00AD6904" w:rsidP="00AD6904">
      <w:r w:rsidRPr="000E1D69">
        <w:t>Tema 134 del programa</w:t>
      </w:r>
    </w:p>
    <w:p w:rsidR="00AD6904" w:rsidRPr="000E1D69" w:rsidRDefault="00AD6904" w:rsidP="00AD69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E1D69">
        <w:t>Presupuesto por programas para el bienio 2016-2017</w:t>
      </w:r>
    </w:p>
    <w:p w:rsidR="00AD6904" w:rsidRPr="000E1D69" w:rsidRDefault="00AD6904" w:rsidP="00AD6904">
      <w:pPr>
        <w:pStyle w:val="SingleTxt"/>
        <w:spacing w:after="0" w:line="120" w:lineRule="exact"/>
        <w:rPr>
          <w:sz w:val="10"/>
        </w:rPr>
      </w:pPr>
    </w:p>
    <w:p w:rsidR="00AD6904" w:rsidRPr="000E1D69" w:rsidRDefault="00AD6904" w:rsidP="00AD6904">
      <w:pPr>
        <w:pStyle w:val="SingleTxt"/>
        <w:spacing w:after="0" w:line="120" w:lineRule="exact"/>
        <w:rPr>
          <w:sz w:val="10"/>
        </w:rPr>
      </w:pPr>
    </w:p>
    <w:p w:rsidR="00AD6904" w:rsidRPr="000E1D69" w:rsidRDefault="00AD6904" w:rsidP="00AD6904">
      <w:pPr>
        <w:pStyle w:val="SingleTxt"/>
        <w:spacing w:after="0" w:line="120" w:lineRule="exact"/>
        <w:rPr>
          <w:sz w:val="10"/>
        </w:rPr>
      </w:pPr>
    </w:p>
    <w:p w:rsidR="00AD6904" w:rsidRPr="000E1D69" w:rsidRDefault="00AD6904" w:rsidP="0017150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110" w:hanging="1267"/>
      </w:pPr>
      <w:r w:rsidRPr="000E1D69">
        <w:tab/>
      </w:r>
      <w:r w:rsidRPr="000E1D69">
        <w:tab/>
        <w:t xml:space="preserve">Estimaciones respecto de misiones políticas especiales, </w:t>
      </w:r>
      <w:r w:rsidR="00171500">
        <w:br/>
      </w:r>
      <w:r w:rsidRPr="000E1D69">
        <w:t xml:space="preserve">buenos oficios y otras iniciativas políticas autorizadas </w:t>
      </w:r>
      <w:r w:rsidR="00171500">
        <w:br/>
      </w:r>
      <w:r w:rsidRPr="000E1D69">
        <w:t>por</w:t>
      </w:r>
      <w:r w:rsidR="00171500">
        <w:t xml:space="preserve"> </w:t>
      </w:r>
      <w:r w:rsidRPr="000E1D69">
        <w:t>la Asamblea General o por el Consejo de Seguridad</w:t>
      </w:r>
    </w:p>
    <w:p w:rsidR="00AD6904" w:rsidRPr="000E1D69" w:rsidRDefault="00AD6904" w:rsidP="00AD6904">
      <w:pPr>
        <w:pStyle w:val="SingleTxt"/>
        <w:spacing w:after="0" w:line="120" w:lineRule="exact"/>
        <w:rPr>
          <w:sz w:val="10"/>
        </w:rPr>
      </w:pPr>
    </w:p>
    <w:p w:rsidR="00AD6904" w:rsidRPr="000E1D69" w:rsidRDefault="00AD6904" w:rsidP="00AD6904">
      <w:pPr>
        <w:pStyle w:val="SingleTxt"/>
        <w:spacing w:after="0" w:line="120" w:lineRule="exact"/>
        <w:rPr>
          <w:sz w:val="10"/>
        </w:rPr>
      </w:pPr>
    </w:p>
    <w:p w:rsidR="00AD6904" w:rsidRPr="000E1D69" w:rsidRDefault="00AD6904" w:rsidP="00AD69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260" w:hanging="1267"/>
      </w:pPr>
      <w:r w:rsidRPr="000E1D69">
        <w:tab/>
      </w:r>
      <w:r w:rsidRPr="000E1D69">
        <w:tab/>
        <w:t>Grupo temático I: Enviados especiales y personales y asesores especiales del Secretario General</w:t>
      </w:r>
    </w:p>
    <w:p w:rsidR="00AD6904" w:rsidRPr="000E1D69" w:rsidRDefault="00AD6904" w:rsidP="00AD6904">
      <w:pPr>
        <w:pStyle w:val="SingleTxt"/>
        <w:spacing w:after="0" w:line="120" w:lineRule="exact"/>
        <w:rPr>
          <w:sz w:val="10"/>
        </w:rPr>
      </w:pPr>
    </w:p>
    <w:p w:rsidR="00AD6904" w:rsidRPr="000E1D69" w:rsidRDefault="00AD6904" w:rsidP="00AD6904">
      <w:pPr>
        <w:pStyle w:val="SingleTxt"/>
        <w:spacing w:after="0" w:line="120" w:lineRule="exact"/>
        <w:rPr>
          <w:sz w:val="10"/>
        </w:rPr>
      </w:pPr>
    </w:p>
    <w:p w:rsidR="00AD6904" w:rsidRPr="000E1D69" w:rsidRDefault="00AD6904" w:rsidP="00AD69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145" w:hanging="1267"/>
      </w:pPr>
      <w:r w:rsidRPr="000E1D69">
        <w:tab/>
      </w:r>
      <w:r w:rsidRPr="000E1D69">
        <w:tab/>
        <w:t>Oficina del Enviado Especial del Secretario General para el Yemen</w:t>
      </w:r>
    </w:p>
    <w:p w:rsidR="00AD6904" w:rsidRPr="000E1D69" w:rsidRDefault="00AD6904" w:rsidP="00AD6904">
      <w:pPr>
        <w:pStyle w:val="SingleTxt"/>
        <w:spacing w:after="0" w:line="120" w:lineRule="exact"/>
        <w:rPr>
          <w:sz w:val="10"/>
        </w:rPr>
      </w:pPr>
    </w:p>
    <w:p w:rsidR="00AD6904" w:rsidRPr="000E1D69" w:rsidRDefault="00AD6904" w:rsidP="00AD6904">
      <w:pPr>
        <w:pStyle w:val="SingleTxt"/>
        <w:spacing w:after="0" w:line="120" w:lineRule="exact"/>
        <w:rPr>
          <w:sz w:val="10"/>
        </w:rPr>
      </w:pPr>
    </w:p>
    <w:p w:rsidR="00AD6904" w:rsidRPr="000E1D69" w:rsidRDefault="00AD6904" w:rsidP="00AD690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217" w:hanging="1267"/>
      </w:pPr>
      <w:r w:rsidRPr="000E1D69">
        <w:tab/>
      </w:r>
      <w:r w:rsidRPr="000E1D69">
        <w:tab/>
        <w:t xml:space="preserve">Oficina del Asesor Especial del Secretario General sobre la Prevención de Conflictos, en particular en Burundi </w:t>
      </w:r>
    </w:p>
    <w:p w:rsidR="00AD6904" w:rsidRPr="000E1D69" w:rsidRDefault="00AD6904" w:rsidP="00AD6904">
      <w:pPr>
        <w:pStyle w:val="SingleTxt"/>
        <w:spacing w:after="0" w:line="120" w:lineRule="exact"/>
        <w:rPr>
          <w:sz w:val="10"/>
        </w:rPr>
      </w:pPr>
    </w:p>
    <w:p w:rsidR="00AD6904" w:rsidRPr="000E1D69" w:rsidRDefault="00AD6904" w:rsidP="00AD6904">
      <w:pPr>
        <w:pStyle w:val="SingleTxt"/>
        <w:spacing w:after="0" w:line="120" w:lineRule="exact"/>
        <w:rPr>
          <w:sz w:val="10"/>
        </w:rPr>
      </w:pPr>
    </w:p>
    <w:p w:rsidR="00AD6904" w:rsidRPr="000E1D69" w:rsidRDefault="00AD6904" w:rsidP="006459B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839" w:hanging="1267"/>
      </w:pPr>
      <w:r w:rsidRPr="000E1D69">
        <w:tab/>
      </w:r>
      <w:r w:rsidRPr="000E1D69">
        <w:tab/>
        <w:t>Informe de la Comisión Consultiva en Asuntos Administrativos y de Presupuesto</w:t>
      </w:r>
    </w:p>
    <w:p w:rsidR="00AD6904" w:rsidRPr="000E1D69" w:rsidRDefault="00AD6904" w:rsidP="00AD6904">
      <w:pPr>
        <w:pStyle w:val="SingleTxt"/>
        <w:spacing w:after="0" w:line="120" w:lineRule="exact"/>
        <w:rPr>
          <w:sz w:val="10"/>
        </w:rPr>
      </w:pPr>
    </w:p>
    <w:p w:rsidR="00AD6904" w:rsidRPr="000E1D69" w:rsidRDefault="00AD6904" w:rsidP="00AD6904">
      <w:pPr>
        <w:pStyle w:val="SingleTxt"/>
        <w:spacing w:after="0" w:line="120" w:lineRule="exact"/>
        <w:rPr>
          <w:sz w:val="10"/>
        </w:rPr>
      </w:pPr>
    </w:p>
    <w:p w:rsidR="00AD6904" w:rsidRPr="000E1D69" w:rsidRDefault="00AD6904" w:rsidP="00AD69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0E1D69">
        <w:tab/>
        <w:t>I.</w:t>
      </w:r>
      <w:r w:rsidRPr="000E1D69">
        <w:tab/>
        <w:t>Introducción</w:t>
      </w:r>
    </w:p>
    <w:p w:rsidR="00AD6904" w:rsidRPr="000E1D69" w:rsidRDefault="00AD6904" w:rsidP="00AD6904">
      <w:pPr>
        <w:pStyle w:val="SingleTxt"/>
        <w:spacing w:after="0" w:line="120" w:lineRule="exact"/>
        <w:rPr>
          <w:sz w:val="10"/>
        </w:rPr>
      </w:pPr>
    </w:p>
    <w:p w:rsidR="00AD6904" w:rsidRPr="000E1D69" w:rsidRDefault="00AD6904" w:rsidP="00AD6904">
      <w:pPr>
        <w:pStyle w:val="SingleTxt"/>
        <w:spacing w:after="0" w:line="120" w:lineRule="exact"/>
        <w:rPr>
          <w:sz w:val="10"/>
        </w:rPr>
      </w:pPr>
    </w:p>
    <w:p w:rsidR="00AD6904" w:rsidRPr="000E1D69" w:rsidRDefault="00AD6904" w:rsidP="00AD6904">
      <w:pPr>
        <w:pStyle w:val="SingleTxt"/>
        <w:numPr>
          <w:ilvl w:val="0"/>
          <w:numId w:val="21"/>
        </w:numPr>
        <w:ind w:left="1267"/>
      </w:pPr>
      <w:r w:rsidRPr="000E1D69">
        <w:t>La Comisión Consultiva en Asuntos Administrativos y de Presupuesto ha examinado el informe del Secretario General sobre las estimaciones respecto de misiones políticas especiales, buenos oficios y otras iniciativas políticas autorizadas por la Asamblea General o por el Consejo de Seguridad (grupo temático I, Oficina del Enviado Especial del Secretario General para el Yemen y Oficina del Asesor Especial del Secretario General sobre la Prevención de Conflictos, en particular en Burundi) (</w:t>
      </w:r>
      <w:hyperlink r:id="rId15" w:history="1">
        <w:r w:rsidRPr="006459B3">
          <w:rPr>
            <w:rStyle w:val="Hyperlink"/>
          </w:rPr>
          <w:t>A/71/365/Add.6</w:t>
        </w:r>
      </w:hyperlink>
      <w:r w:rsidRPr="000E1D69">
        <w:t>)</w:t>
      </w:r>
      <w:r w:rsidR="00D07300" w:rsidRPr="000E1D69">
        <w:rPr>
          <w:rStyle w:val="FootnoteReference"/>
        </w:rPr>
        <w:footnoteReference w:id="1"/>
      </w:r>
      <w:r w:rsidRPr="000E1D69">
        <w:t xml:space="preserve">. Durante su examen del informe, la Comisión Consultiva se reunió con representantes del Secretario General, que proporcionaron </w:t>
      </w:r>
      <w:r w:rsidRPr="000E1D69">
        <w:lastRenderedPageBreak/>
        <w:t xml:space="preserve">información y aclaraciones adicionales, proceso que concluyó con las respuestas por escrito recibidas el 8 de diciembre de 2016. </w:t>
      </w:r>
    </w:p>
    <w:p w:rsidR="00AD6904" w:rsidRPr="000E1D69" w:rsidRDefault="00AD6904" w:rsidP="00AD6904">
      <w:pPr>
        <w:pStyle w:val="SingleTxt"/>
        <w:numPr>
          <w:ilvl w:val="0"/>
          <w:numId w:val="21"/>
        </w:numPr>
        <w:tabs>
          <w:tab w:val="clear" w:pos="475"/>
          <w:tab w:val="num" w:pos="1742"/>
        </w:tabs>
        <w:ind w:left="1267"/>
      </w:pPr>
      <w:r w:rsidRPr="000E1D69">
        <w:t>En el informe principal del Secretario General (</w:t>
      </w:r>
      <w:hyperlink r:id="rId16" w:history="1">
        <w:r w:rsidRPr="006459B3">
          <w:rPr>
            <w:rStyle w:val="Hyperlink"/>
          </w:rPr>
          <w:t>A/71/365</w:t>
        </w:r>
      </w:hyperlink>
      <w:r w:rsidRPr="000E1D69">
        <w:t>) se presenta una sinopsis de las necesidades de recursos propuestas para 2017 para 31 misiones políticas especiales y cuestiones intersectoriales conexas.</w:t>
      </w:r>
      <w:r w:rsidR="000E1D69" w:rsidRPr="000E1D69">
        <w:t xml:space="preserve"> </w:t>
      </w:r>
      <w:r w:rsidRPr="000E1D69">
        <w:t>En las primeras cinco adiciones del informe principal se presentan las necesidades específicas para los grupos temáticos I a III y las dos misiones más grandes, a saber, la Misión de Asistencia de las Naciones Unidas en el Afganistán (UNAMA) y la Misión de Asistencia de las Naciones Unidas para el Iraq (UNAMI) (</w:t>
      </w:r>
      <w:hyperlink r:id="rId17" w:history="1">
        <w:r w:rsidRPr="006459B3">
          <w:rPr>
            <w:rStyle w:val="Hyperlink"/>
          </w:rPr>
          <w:t>A/71/365/Add.1</w:t>
        </w:r>
      </w:hyperlink>
      <w:r w:rsidRPr="000E1D69">
        <w:t xml:space="preserve"> a 5). Las observaciones y recomendaciones de carácter transversal de la Comisión Consultiva relacionadas con todas las misiones políticas especiales, incluidas las observaciones relativas a la Oficina Conjunta de Apoyo de Kuwait, se recogen en el informe principal de la Comisión</w:t>
      </w:r>
      <w:r w:rsidR="000E1D69" w:rsidRPr="000E1D69">
        <w:t xml:space="preserve"> </w:t>
      </w:r>
      <w:r w:rsidRPr="000E1D69">
        <w:t>(</w:t>
      </w:r>
      <w:hyperlink r:id="rId18" w:history="1">
        <w:r w:rsidRPr="006459B3">
          <w:rPr>
            <w:rStyle w:val="Hyperlink"/>
          </w:rPr>
          <w:t>A/71/595</w:t>
        </w:r>
      </w:hyperlink>
      <w:r w:rsidRPr="000E1D69">
        <w:t>), y las propuestas presupuestarias para 9 de las 11 misiones incluidas en el grupo temático I relativo a los enviados especiales y personales y asesores especiales del Secretario General, con excepción de las dos misiones abarcadas en el presente informe, se tratan en su informe (</w:t>
      </w:r>
      <w:hyperlink r:id="rId19" w:history="1">
        <w:r w:rsidRPr="006459B3">
          <w:rPr>
            <w:rStyle w:val="Hyperlink"/>
          </w:rPr>
          <w:t>A/71/595/Add.1</w:t>
        </w:r>
      </w:hyperlink>
      <w:r w:rsidRPr="000E1D69">
        <w:t xml:space="preserve">). </w:t>
      </w:r>
    </w:p>
    <w:p w:rsidR="00AD6904" w:rsidRPr="000E1D69" w:rsidRDefault="00AD6904" w:rsidP="00AD6904">
      <w:pPr>
        <w:pStyle w:val="SingleTxt"/>
        <w:numPr>
          <w:ilvl w:val="0"/>
          <w:numId w:val="21"/>
        </w:numPr>
        <w:tabs>
          <w:tab w:val="clear" w:pos="475"/>
          <w:tab w:val="num" w:pos="1742"/>
        </w:tabs>
        <w:ind w:left="1267"/>
      </w:pPr>
      <w:r w:rsidRPr="000E1D69">
        <w:t xml:space="preserve">La Comisión Consultiva recuerda que la Asamblea General aprobó una consignación bienal de 1.124,4 millones de dólares en cifras netas correspondiente a la sección 3, Asuntos políticos, del proyecto de presupuesto por programas presentado por el Secretario General para el bienio 2016-2017 para las misiones políticas especiales (resolución </w:t>
      </w:r>
      <w:hyperlink r:id="rId20" w:history="1">
        <w:r w:rsidRPr="006459B3">
          <w:rPr>
            <w:rStyle w:val="Hyperlink"/>
          </w:rPr>
          <w:t>70/249</w:t>
        </w:r>
      </w:hyperlink>
      <w:r w:rsidRPr="000E1D69">
        <w:t xml:space="preserve"> A). En el anexo I del informe principal del Secretario General (</w:t>
      </w:r>
      <w:hyperlink r:id="rId21" w:history="1">
        <w:r w:rsidRPr="006459B3">
          <w:rPr>
            <w:rStyle w:val="Hyperlink"/>
          </w:rPr>
          <w:t>A/71/365</w:t>
        </w:r>
      </w:hyperlink>
      <w:r w:rsidRPr="000E1D69">
        <w:t>) figura un resumen de la consignación para el bienio 2016-2017. La consignación bienal no incluye las necesidades de recursos propuestas en relación con las dos misiones que se examinan en el presente informe.</w:t>
      </w:r>
    </w:p>
    <w:p w:rsidR="00AD6904" w:rsidRPr="000E1D69" w:rsidRDefault="00AD6904" w:rsidP="00AD6904">
      <w:pPr>
        <w:pStyle w:val="SingleTxt"/>
        <w:spacing w:after="0" w:line="120" w:lineRule="exact"/>
        <w:rPr>
          <w:sz w:val="10"/>
        </w:rPr>
      </w:pPr>
    </w:p>
    <w:p w:rsidR="00AD6904" w:rsidRPr="000E1D69" w:rsidRDefault="00AD6904" w:rsidP="00AD6904">
      <w:pPr>
        <w:pStyle w:val="SingleTxt"/>
        <w:spacing w:after="0" w:line="120" w:lineRule="exact"/>
        <w:rPr>
          <w:sz w:val="10"/>
        </w:rPr>
      </w:pPr>
    </w:p>
    <w:p w:rsidR="00AD6904" w:rsidRPr="000E1D69" w:rsidRDefault="00AD6904" w:rsidP="00AD690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0E1D69">
        <w:tab/>
        <w:t>II.</w:t>
      </w:r>
      <w:r w:rsidRPr="000E1D69">
        <w:tab/>
        <w:t xml:space="preserve">Recursos necesarios </w:t>
      </w:r>
    </w:p>
    <w:p w:rsidR="00AD6904" w:rsidRPr="000E1D69" w:rsidRDefault="00AD6904" w:rsidP="00AD6904">
      <w:pPr>
        <w:pStyle w:val="SingleTxt"/>
        <w:spacing w:after="0" w:line="120" w:lineRule="exact"/>
        <w:rPr>
          <w:sz w:val="10"/>
        </w:rPr>
      </w:pPr>
    </w:p>
    <w:p w:rsidR="00AD6904" w:rsidRPr="000E1D69" w:rsidRDefault="00AD6904" w:rsidP="00AD6904">
      <w:pPr>
        <w:pStyle w:val="SingleTxt"/>
        <w:spacing w:after="0" w:line="120" w:lineRule="exact"/>
        <w:rPr>
          <w:sz w:val="10"/>
        </w:rPr>
      </w:pPr>
    </w:p>
    <w:p w:rsidR="00AD6904" w:rsidRPr="000E1D69" w:rsidRDefault="00AD6904" w:rsidP="0017150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2460" w:hanging="1267"/>
      </w:pPr>
      <w:r w:rsidRPr="000E1D69">
        <w:tab/>
        <w:t>A.</w:t>
      </w:r>
      <w:r w:rsidRPr="000E1D69">
        <w:tab/>
        <w:t>Oficina del Enviado Especial del Secretario General para el Yemen</w:t>
      </w:r>
    </w:p>
    <w:p w:rsidR="00AD6904" w:rsidRPr="000E1D69" w:rsidRDefault="00AD6904" w:rsidP="00AD6904">
      <w:pPr>
        <w:pStyle w:val="SingleTxt"/>
        <w:spacing w:after="0" w:line="120" w:lineRule="exact"/>
        <w:rPr>
          <w:sz w:val="10"/>
        </w:rPr>
      </w:pPr>
    </w:p>
    <w:p w:rsidR="00AD6904" w:rsidRPr="000E1D69" w:rsidRDefault="00AD6904" w:rsidP="00AD6904">
      <w:pPr>
        <w:pStyle w:val="SingleTxt"/>
        <w:spacing w:after="0" w:line="120" w:lineRule="exact"/>
        <w:rPr>
          <w:sz w:val="10"/>
        </w:rPr>
      </w:pPr>
    </w:p>
    <w:p w:rsidR="00AD6904" w:rsidRPr="000E1D69" w:rsidRDefault="00AD6904" w:rsidP="00AD69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E1D69">
        <w:tab/>
      </w:r>
      <w:r w:rsidRPr="000E1D69">
        <w:tab/>
        <w:t>Antecedentes</w:t>
      </w:r>
    </w:p>
    <w:p w:rsidR="00AD6904" w:rsidRPr="000E1D69" w:rsidRDefault="00AD6904" w:rsidP="00AD6904">
      <w:pPr>
        <w:pStyle w:val="SingleTxt"/>
        <w:tabs>
          <w:tab w:val="num" w:pos="1742"/>
        </w:tabs>
        <w:spacing w:after="0" w:line="120" w:lineRule="exact"/>
        <w:rPr>
          <w:sz w:val="10"/>
        </w:rPr>
      </w:pPr>
    </w:p>
    <w:p w:rsidR="00AD6904" w:rsidRPr="000E1D69" w:rsidRDefault="00AD6904" w:rsidP="00AD6904">
      <w:pPr>
        <w:pStyle w:val="SingleTxt"/>
        <w:numPr>
          <w:ilvl w:val="0"/>
          <w:numId w:val="21"/>
        </w:numPr>
        <w:tabs>
          <w:tab w:val="clear" w:pos="475"/>
          <w:tab w:val="num" w:pos="1742"/>
        </w:tabs>
        <w:ind w:left="1267"/>
      </w:pPr>
      <w:r w:rsidRPr="000E1D69">
        <w:t xml:space="preserve">Desde el comienzo del levantamiento en el Yemen a principios de 2011, el Secretario General ha interpuesto sus buenos oficios para promover la paz y la estabilidad mediante el diálogo y las negociaciones. La Comisión Consultiva recuerda que la Oficina del Enviado Especial se estableció en 2012. En su resolución </w:t>
      </w:r>
      <w:hyperlink r:id="rId22" w:history="1">
        <w:r w:rsidRPr="006459B3">
          <w:rPr>
            <w:rStyle w:val="Hyperlink"/>
          </w:rPr>
          <w:t>2216 (2015)</w:t>
        </w:r>
      </w:hyperlink>
      <w:r w:rsidRPr="000E1D69">
        <w:t>, el Consejo de Seguridad pidió al Secretario General que intensificara su función de buenos oficios a fin de posibilitar que se reanudara un proceso de transición pacífico, inclusivo, ordenado y dirigido por los yemeníes. A raíz de la continuación de las hostilidades, el Presidente del Consejo de Seguridad, en una declaración de 25 de abril de 2016, exhortó a todas las partes yemeníes a elaborar una hoja de ruta para la aplicación de medidas de seguridad provisionales, el restablecimiento de las instituciones del Estado y la reanudación del diálogo político, entre otras cosas (</w:t>
      </w:r>
      <w:hyperlink r:id="rId23" w:history="1">
        <w:r w:rsidRPr="006459B3">
          <w:rPr>
            <w:rStyle w:val="Hyperlink"/>
          </w:rPr>
          <w:t>S/PRST/2016/5</w:t>
        </w:r>
      </w:hyperlink>
      <w:r w:rsidRPr="000E1D69">
        <w:t xml:space="preserve">). De conformidad con una solicitud conexa formulada por el Consejo de que el Secretario General le presentara un plan en que se describiera la manera en que la Oficina del Enviado Especial podía prestar </w:t>
      </w:r>
      <w:r w:rsidRPr="000E1D69">
        <w:lastRenderedPageBreak/>
        <w:t>asistencia en la etapa siguiente de su labor con las partes, el Secretario General presentó una propuesta encaminada a reforzar la Oficina. El Consejo tomó nota de la propuesta, en la que se indicó que la Oficina debería dirigir la asistencia de las Naciones Unidas en las conversaciones de paz, en la ampliación de la facilitación y prestación de asesoramiento técnico a las partes yemeníes y en la aplicación de las etapas iniciales de los acuerdos (</w:t>
      </w:r>
      <w:hyperlink r:id="rId24" w:history="1">
        <w:r w:rsidRPr="006459B3">
          <w:rPr>
            <w:rStyle w:val="Hyperlink"/>
          </w:rPr>
          <w:t>A/71/365/Add.6</w:t>
        </w:r>
      </w:hyperlink>
      <w:r w:rsidRPr="000E1D69">
        <w:t xml:space="preserve">, párrs. 1 a 11). </w:t>
      </w:r>
    </w:p>
    <w:p w:rsidR="00AD6904" w:rsidRPr="000E1D69" w:rsidRDefault="00AD6904" w:rsidP="00AD6904">
      <w:pPr>
        <w:pStyle w:val="SingleTxt"/>
        <w:numPr>
          <w:ilvl w:val="0"/>
          <w:numId w:val="21"/>
        </w:numPr>
        <w:tabs>
          <w:tab w:val="clear" w:pos="475"/>
          <w:tab w:val="num" w:pos="1742"/>
        </w:tabs>
        <w:ind w:left="1267"/>
      </w:pPr>
      <w:r w:rsidRPr="000E1D69">
        <w:t>En su informe, el Secretario General indica que se prevé que las condiciones de seguridad en el Yemen seguirán siendo muy difíciles para el personal de las Naciones Unidas, de modo que la Oficina y la mayoría de sus funcionarios estarán ubicados fuera del país y harán viajes periódicos al Yemen, según y cuando sea necesario, y según lo permitan las condiciones operacionales y de seguridad. El Secretario General ha manifestado su intención de trasladar la Oficina del Enviado Especial de Nueva York a Ammán, desde donde serviría de centro inicial para la prestación de apoyo a las partes yemeníes y las operaciones en el Yemen. Inicialmente, la presencia de la Oficina en Saná seguiría siendo limitada, pero aumentaría con el tiempo a medida que la situación de la seguridad y las condiciones operacionales lo permitieran (</w:t>
      </w:r>
      <w:hyperlink r:id="rId25" w:history="1">
        <w:r w:rsidRPr="006459B3">
          <w:rPr>
            <w:rStyle w:val="Hyperlink"/>
          </w:rPr>
          <w:t>A/71/365/Add.6</w:t>
        </w:r>
      </w:hyperlink>
      <w:r w:rsidRPr="000E1D69">
        <w:t xml:space="preserve">, párr. 25). </w:t>
      </w:r>
    </w:p>
    <w:p w:rsidR="00AD6904" w:rsidRPr="000E1D69" w:rsidRDefault="00AD6904" w:rsidP="00AD6904">
      <w:pPr>
        <w:pStyle w:val="SingleTxt"/>
        <w:numPr>
          <w:ilvl w:val="0"/>
          <w:numId w:val="21"/>
        </w:numPr>
        <w:tabs>
          <w:tab w:val="clear" w:pos="475"/>
          <w:tab w:val="num" w:pos="1742"/>
        </w:tabs>
        <w:ind w:left="1267"/>
      </w:pPr>
      <w:r w:rsidRPr="000E1D69">
        <w:t>A fin de cumplir las nuevas responsabilidades y tareas de la Oficina, se señala en el informe que se necesitará más personal con conocimientos especializados en mediación política y facilitación, asuntos electorales, alto el fuego, separación, desarme, desmovilización y reintegración y otras cuestiones relativas al sector de la seguridad, así como un aumento conexo de las capacidades actuales de apoyo a la misión y de seguridad (</w:t>
      </w:r>
      <w:hyperlink r:id="rId26" w:history="1">
        <w:r w:rsidRPr="006459B3">
          <w:rPr>
            <w:rStyle w:val="Hyperlink"/>
          </w:rPr>
          <w:t>A/71/365/Add.6</w:t>
        </w:r>
      </w:hyperlink>
      <w:r w:rsidRPr="000E1D69">
        <w:t>, párr. 29). El Enviado Especial viajará periódicamente al Yemen y a la región para mantener estrecho contacto con todas las partes interesadas (</w:t>
      </w:r>
      <w:r w:rsidR="000E1D69" w:rsidRPr="00515E44">
        <w:rPr>
          <w:i/>
        </w:rPr>
        <w:t>ibid</w:t>
      </w:r>
      <w:r w:rsidR="000E1D69" w:rsidRPr="000E1D69">
        <w:t>.</w:t>
      </w:r>
      <w:r w:rsidRPr="000E1D69">
        <w:t>, párr. 30).</w:t>
      </w:r>
    </w:p>
    <w:p w:rsidR="00AD6904" w:rsidRPr="000E1D69" w:rsidRDefault="00AD6904" w:rsidP="00AD6904">
      <w:pPr>
        <w:pStyle w:val="SingleTxt"/>
        <w:numPr>
          <w:ilvl w:val="0"/>
          <w:numId w:val="21"/>
        </w:numPr>
        <w:tabs>
          <w:tab w:val="clear" w:pos="475"/>
          <w:tab w:val="num" w:pos="1742"/>
        </w:tabs>
        <w:ind w:left="1267"/>
      </w:pPr>
      <w:r w:rsidRPr="000E1D69">
        <w:t>Las actividades de la Oficina han sido financiadas mediante una consignación total de 6.730.100 dólares para 2016. La Comisión Consultiva recuerda que en julio de 2016 se solicitó su acuerdo para que el Secretario General contrajera compromisos de gastos por valor no superior a 2.965.800 dólares para atender a las necesidades adicionales mencionadas. En una carta al Secretario General de fecha 3 de octubre de 2016, la Comisión expresó ciertas reservas sobre la cuantía de la solicitud, en particular sobre las pautas de gastos observadas en ese momento, la dotación de personal propuesta y los arreglos para la prestación de apoyo a la misión. Por consiguiente, la Comisión autorizó al Secretario General a contraer obligaciones por un valor no superior a 1.186.320 dólares (el 40% de la suma solicitada). Para 2016, el monto total de los fondos aprobados para la Oficina ascendió a 7.916.400 dólares. Se informó a la Comisión, en respuesta a sus preguntas, de que, al 30 de noviembre de 2016, los gastos en relación con esta autorización para contraer compromisos de gastos ascendían a 302.200 dólares y los gastos totales en relación con la consignación y la autorización para contraer compromisos de gastos ascendían a 6.955.100 dólares (87,9% de los recursos aprobado</w:t>
      </w:r>
      <w:r w:rsidR="00171500">
        <w:t>s</w:t>
      </w:r>
      <w:r w:rsidRPr="000E1D69">
        <w:t>). En el informe del Secretario General se indica que se pedirá que se apruebe una consignación haciendo uso de la autoridad para contraer compromisos de gastos en el marco de las necesidades generales para las misiones políticas especiales para el bienio 2016-2017 (</w:t>
      </w:r>
      <w:hyperlink r:id="rId27" w:history="1">
        <w:r w:rsidRPr="006459B3">
          <w:rPr>
            <w:rStyle w:val="Hyperlink"/>
          </w:rPr>
          <w:t>A/71/365/Add.6</w:t>
        </w:r>
      </w:hyperlink>
      <w:r w:rsidRPr="000E1D69">
        <w:t xml:space="preserve">, párr. 34). </w:t>
      </w:r>
    </w:p>
    <w:p w:rsidR="00AD6904" w:rsidRPr="000E1D69" w:rsidRDefault="00AD6904" w:rsidP="00AD6904">
      <w:pPr>
        <w:pStyle w:val="SingleTxt"/>
        <w:tabs>
          <w:tab w:val="num" w:pos="1742"/>
        </w:tabs>
        <w:spacing w:after="0" w:line="120" w:lineRule="exact"/>
        <w:rPr>
          <w:sz w:val="10"/>
        </w:rPr>
      </w:pPr>
    </w:p>
    <w:p w:rsidR="00171500" w:rsidRDefault="00171500">
      <w:pPr>
        <w:suppressAutoHyphens w:val="0"/>
        <w:spacing w:after="200" w:line="276" w:lineRule="auto"/>
        <w:rPr>
          <w:b/>
          <w:spacing w:val="2"/>
          <w:kern w:val="14"/>
        </w:rPr>
      </w:pPr>
      <w:r>
        <w:br w:type="page"/>
      </w:r>
    </w:p>
    <w:p w:rsidR="00AD6904" w:rsidRPr="000E1D69" w:rsidRDefault="00AD6904" w:rsidP="00AD69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E1D69">
        <w:tab/>
      </w:r>
      <w:r w:rsidRPr="000E1D69">
        <w:tab/>
        <w:t>Necesidades de recursos para 2017 para la Oficina del Enviado Especial</w:t>
      </w:r>
    </w:p>
    <w:p w:rsidR="00AD6904" w:rsidRPr="000E1D69" w:rsidRDefault="00AD6904" w:rsidP="00AD6904">
      <w:pPr>
        <w:pStyle w:val="SingleTxt"/>
        <w:tabs>
          <w:tab w:val="num" w:pos="1742"/>
        </w:tabs>
        <w:spacing w:after="0" w:line="120" w:lineRule="exact"/>
        <w:rPr>
          <w:sz w:val="10"/>
        </w:rPr>
      </w:pPr>
    </w:p>
    <w:p w:rsidR="00AD6904" w:rsidRPr="000E1D69" w:rsidRDefault="00AD6904" w:rsidP="00AD6904">
      <w:pPr>
        <w:pStyle w:val="SingleTxt"/>
        <w:numPr>
          <w:ilvl w:val="0"/>
          <w:numId w:val="21"/>
        </w:numPr>
        <w:tabs>
          <w:tab w:val="clear" w:pos="475"/>
          <w:tab w:val="num" w:pos="1742"/>
        </w:tabs>
        <w:ind w:left="1267"/>
      </w:pPr>
      <w:r w:rsidRPr="000E1D69">
        <w:t>Los recursos propuestos para la Oficina del Enviado Especial para 2017 ascienden a 15.487.300 dólares (en cifras netas), lo que supone un aumento de 8.757.200 dólares en comparación con la consignación inicial para 2016 (véase el cuadro 1). El aumento en cifras netas asciende a 7.571.000 dólares si se tiene en cuenta la autorización adicional para contraer compromisos de gastos y los gastos estimados conexos. Se estima que habrá importantes aumentos de los gastos por concepto de personal de contratación internacional (4.608.200 dólares), instalaciones e infraestructura (2.154.600 dólares) y transporte terrestre (1.140.900 dólares) (véase el cuadro 2).</w:t>
      </w:r>
    </w:p>
    <w:p w:rsidR="00AD6904" w:rsidRPr="000E1D69" w:rsidRDefault="00AD6904" w:rsidP="00AD6904">
      <w:pPr>
        <w:pStyle w:val="SingleTxt"/>
        <w:spacing w:after="0" w:line="120" w:lineRule="exact"/>
        <w:rPr>
          <w:sz w:val="10"/>
        </w:rPr>
      </w:pPr>
    </w:p>
    <w:p w:rsidR="00AD6904" w:rsidRPr="000E1D69" w:rsidRDefault="00AD6904" w:rsidP="000D51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val="0"/>
        </w:rPr>
      </w:pPr>
      <w:r w:rsidRPr="000E1D69">
        <w:rPr>
          <w:b w:val="0"/>
        </w:rPr>
        <w:t xml:space="preserve">Cuadro 1 </w:t>
      </w:r>
    </w:p>
    <w:p w:rsidR="00AD6904" w:rsidRPr="000E1D69" w:rsidRDefault="00AD6904" w:rsidP="000D51F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E1D69">
        <w:t>Recursos financieros</w:t>
      </w:r>
    </w:p>
    <w:p w:rsidR="00AD6904" w:rsidRPr="000E1D69" w:rsidRDefault="00AD6904" w:rsidP="000D51FE">
      <w:pPr>
        <w:rPr>
          <w:sz w:val="14"/>
          <w:szCs w:val="14"/>
        </w:rPr>
      </w:pPr>
      <w:r w:rsidRPr="000E1D69">
        <w:rPr>
          <w:sz w:val="14"/>
          <w:szCs w:val="14"/>
        </w:rPr>
        <w:t>(En miles de dólares de los Estados Unidos)</w:t>
      </w:r>
    </w:p>
    <w:p w:rsidR="00AD6904" w:rsidRPr="000E1D69" w:rsidRDefault="00AD6904" w:rsidP="000D51FE">
      <w:pPr>
        <w:pStyle w:val="SingleTxt"/>
        <w:spacing w:after="0" w:line="120" w:lineRule="exact"/>
        <w:rPr>
          <w:sz w:val="10"/>
        </w:rPr>
      </w:pPr>
    </w:p>
    <w:p w:rsidR="000D51FE" w:rsidRPr="000E1D69" w:rsidRDefault="000D51FE" w:rsidP="00AD6904">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1845"/>
        <w:gridCol w:w="1008"/>
        <w:gridCol w:w="900"/>
        <w:gridCol w:w="1044"/>
        <w:gridCol w:w="918"/>
        <w:gridCol w:w="99"/>
        <w:gridCol w:w="9"/>
        <w:gridCol w:w="9"/>
        <w:gridCol w:w="972"/>
        <w:gridCol w:w="1008"/>
        <w:gridCol w:w="999"/>
        <w:gridCol w:w="1035"/>
      </w:tblGrid>
      <w:tr w:rsidR="003D52D6" w:rsidRPr="000E1D69" w:rsidTr="004A6ED4">
        <w:trPr>
          <w:tblHeader/>
        </w:trPr>
        <w:tc>
          <w:tcPr>
            <w:tcW w:w="1845" w:type="dxa"/>
            <w:vMerge w:val="restart"/>
            <w:tcBorders>
              <w:top w:val="single" w:sz="4" w:space="0" w:color="auto"/>
            </w:tcBorders>
            <w:shd w:val="clear" w:color="auto" w:fill="auto"/>
            <w:vAlign w:val="bottom"/>
          </w:tcPr>
          <w:p w:rsidR="003D52D6" w:rsidRPr="000E1D69" w:rsidRDefault="003D52D6" w:rsidP="00861408">
            <w:pPr>
              <w:tabs>
                <w:tab w:val="left" w:pos="288"/>
                <w:tab w:val="left" w:pos="576"/>
                <w:tab w:val="left" w:pos="864"/>
                <w:tab w:val="left" w:pos="1152"/>
              </w:tabs>
              <w:spacing w:before="80" w:after="80" w:line="160" w:lineRule="exact"/>
              <w:ind w:right="43"/>
              <w:rPr>
                <w:i/>
                <w:sz w:val="14"/>
                <w:szCs w:val="14"/>
              </w:rPr>
            </w:pPr>
            <w:r w:rsidRPr="000E1D69">
              <w:rPr>
                <w:i/>
                <w:sz w:val="14"/>
                <w:szCs w:val="14"/>
              </w:rPr>
              <w:t>Categoría</w:t>
            </w:r>
          </w:p>
        </w:tc>
        <w:tc>
          <w:tcPr>
            <w:tcW w:w="3870" w:type="dxa"/>
            <w:gridSpan w:val="4"/>
            <w:tcBorders>
              <w:top w:val="single" w:sz="4" w:space="0" w:color="auto"/>
              <w:bottom w:val="single" w:sz="4" w:space="0" w:color="auto"/>
            </w:tcBorders>
            <w:shd w:val="clear" w:color="auto" w:fill="auto"/>
            <w:vAlign w:val="bottom"/>
          </w:tcPr>
          <w:p w:rsidR="003D52D6" w:rsidRPr="000E1D69" w:rsidRDefault="003D52D6" w:rsidP="00861408">
            <w:pPr>
              <w:spacing w:before="80" w:after="80" w:line="160" w:lineRule="exact"/>
              <w:ind w:right="113"/>
              <w:jc w:val="center"/>
              <w:rPr>
                <w:i/>
                <w:sz w:val="14"/>
                <w:szCs w:val="14"/>
              </w:rPr>
            </w:pPr>
            <w:r w:rsidRPr="000E1D69">
              <w:rPr>
                <w:i/>
                <w:sz w:val="14"/>
                <w:szCs w:val="14"/>
              </w:rPr>
              <w:t>1 de enero a 31 de diciembre de 2016</w:t>
            </w:r>
          </w:p>
        </w:tc>
        <w:tc>
          <w:tcPr>
            <w:tcW w:w="99" w:type="dxa"/>
            <w:tcBorders>
              <w:top w:val="single" w:sz="4" w:space="0" w:color="auto"/>
            </w:tcBorders>
            <w:shd w:val="clear" w:color="auto" w:fill="auto"/>
            <w:vAlign w:val="bottom"/>
          </w:tcPr>
          <w:p w:rsidR="003D52D6" w:rsidRPr="000E1D69" w:rsidRDefault="003D52D6" w:rsidP="00861408">
            <w:pPr>
              <w:spacing w:before="80" w:after="80" w:line="160" w:lineRule="exact"/>
              <w:ind w:right="113"/>
              <w:jc w:val="right"/>
              <w:rPr>
                <w:i/>
                <w:sz w:val="14"/>
                <w:szCs w:val="14"/>
              </w:rPr>
            </w:pPr>
          </w:p>
        </w:tc>
        <w:tc>
          <w:tcPr>
            <w:tcW w:w="4032" w:type="dxa"/>
            <w:gridSpan w:val="6"/>
            <w:tcBorders>
              <w:top w:val="single" w:sz="4" w:space="0" w:color="auto"/>
              <w:bottom w:val="single" w:sz="4" w:space="0" w:color="auto"/>
            </w:tcBorders>
            <w:shd w:val="clear" w:color="auto" w:fill="auto"/>
            <w:vAlign w:val="bottom"/>
          </w:tcPr>
          <w:p w:rsidR="003D52D6" w:rsidRPr="000E1D69" w:rsidRDefault="003D52D6" w:rsidP="00861408">
            <w:pPr>
              <w:spacing w:before="80" w:after="80" w:line="160" w:lineRule="exact"/>
              <w:ind w:right="113"/>
              <w:jc w:val="center"/>
              <w:rPr>
                <w:i/>
                <w:sz w:val="14"/>
                <w:szCs w:val="14"/>
              </w:rPr>
            </w:pPr>
            <w:r w:rsidRPr="000E1D69">
              <w:rPr>
                <w:i/>
                <w:sz w:val="14"/>
                <w:szCs w:val="14"/>
              </w:rPr>
              <w:t xml:space="preserve">Necesidades para el período comprendido entre </w:t>
            </w:r>
            <w:r w:rsidR="00770077" w:rsidRPr="000E1D69">
              <w:rPr>
                <w:i/>
                <w:sz w:val="14"/>
                <w:szCs w:val="14"/>
              </w:rPr>
              <w:br/>
            </w:r>
            <w:r w:rsidRPr="000E1D69">
              <w:rPr>
                <w:i/>
                <w:sz w:val="14"/>
                <w:szCs w:val="14"/>
              </w:rPr>
              <w:t>el 1 de enero y el 31 de diciembre de 2017</w:t>
            </w:r>
          </w:p>
        </w:tc>
      </w:tr>
      <w:tr w:rsidR="004A6ED4" w:rsidRPr="000E1D69" w:rsidTr="00770077">
        <w:trPr>
          <w:tblHeader/>
        </w:trPr>
        <w:tc>
          <w:tcPr>
            <w:tcW w:w="1845" w:type="dxa"/>
            <w:vMerge/>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right="43"/>
              <w:rPr>
                <w:i/>
                <w:sz w:val="14"/>
                <w:szCs w:val="14"/>
              </w:rPr>
            </w:pPr>
          </w:p>
        </w:tc>
        <w:tc>
          <w:tcPr>
            <w:tcW w:w="1008" w:type="dxa"/>
            <w:tcBorders>
              <w:top w:val="single" w:sz="4" w:space="0" w:color="auto"/>
              <w:bottom w:val="single" w:sz="4" w:space="0" w:color="auto"/>
            </w:tcBorders>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right="43"/>
              <w:jc w:val="right"/>
              <w:rPr>
                <w:i/>
                <w:sz w:val="14"/>
                <w:szCs w:val="14"/>
              </w:rPr>
            </w:pPr>
            <w:r w:rsidRPr="000E1D69">
              <w:rPr>
                <w:i/>
                <w:sz w:val="14"/>
                <w:szCs w:val="14"/>
              </w:rPr>
              <w:t>Consignación</w:t>
            </w:r>
          </w:p>
        </w:tc>
        <w:tc>
          <w:tcPr>
            <w:tcW w:w="900" w:type="dxa"/>
            <w:tcBorders>
              <w:top w:val="single" w:sz="4" w:space="0" w:color="auto"/>
              <w:bottom w:val="single" w:sz="4" w:space="0" w:color="auto"/>
            </w:tcBorders>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right="43"/>
              <w:jc w:val="right"/>
              <w:rPr>
                <w:i/>
                <w:sz w:val="14"/>
                <w:szCs w:val="14"/>
              </w:rPr>
            </w:pPr>
            <w:r w:rsidRPr="000E1D69">
              <w:rPr>
                <w:i/>
                <w:sz w:val="14"/>
                <w:szCs w:val="14"/>
              </w:rPr>
              <w:t>Gastos estimados</w:t>
            </w:r>
          </w:p>
        </w:tc>
        <w:tc>
          <w:tcPr>
            <w:tcW w:w="1044" w:type="dxa"/>
            <w:tcBorders>
              <w:top w:val="single" w:sz="4" w:space="0" w:color="auto"/>
              <w:bottom w:val="single" w:sz="4" w:space="0" w:color="auto"/>
            </w:tcBorders>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right="43"/>
              <w:jc w:val="right"/>
              <w:rPr>
                <w:i/>
                <w:sz w:val="14"/>
                <w:szCs w:val="14"/>
              </w:rPr>
            </w:pPr>
            <w:r w:rsidRPr="000E1D69">
              <w:rPr>
                <w:i/>
                <w:sz w:val="14"/>
                <w:szCs w:val="14"/>
              </w:rPr>
              <w:t>Diferencia</w:t>
            </w:r>
          </w:p>
        </w:tc>
        <w:tc>
          <w:tcPr>
            <w:tcW w:w="918" w:type="dxa"/>
            <w:tcBorders>
              <w:top w:val="single" w:sz="4" w:space="0" w:color="auto"/>
              <w:bottom w:val="single" w:sz="4" w:space="0" w:color="auto"/>
            </w:tcBorders>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right="43"/>
              <w:jc w:val="right"/>
              <w:rPr>
                <w:i/>
                <w:sz w:val="14"/>
                <w:szCs w:val="14"/>
              </w:rPr>
            </w:pPr>
            <w:r w:rsidRPr="000E1D69">
              <w:rPr>
                <w:i/>
                <w:sz w:val="14"/>
                <w:szCs w:val="14"/>
              </w:rPr>
              <w:t>Consignación para 2016</w:t>
            </w:r>
          </w:p>
        </w:tc>
        <w:tc>
          <w:tcPr>
            <w:tcW w:w="108" w:type="dxa"/>
            <w:gridSpan w:val="2"/>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right="43"/>
              <w:jc w:val="right"/>
              <w:rPr>
                <w:i/>
                <w:sz w:val="14"/>
                <w:szCs w:val="14"/>
              </w:rPr>
            </w:pPr>
          </w:p>
        </w:tc>
        <w:tc>
          <w:tcPr>
            <w:tcW w:w="981" w:type="dxa"/>
            <w:gridSpan w:val="2"/>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right="43"/>
              <w:jc w:val="right"/>
              <w:rPr>
                <w:i/>
                <w:sz w:val="14"/>
                <w:szCs w:val="14"/>
              </w:rPr>
            </w:pPr>
            <w:r w:rsidRPr="000E1D69">
              <w:rPr>
                <w:i/>
                <w:sz w:val="14"/>
                <w:szCs w:val="14"/>
              </w:rPr>
              <w:t>Total de necesidades</w:t>
            </w:r>
          </w:p>
        </w:tc>
        <w:tc>
          <w:tcPr>
            <w:tcW w:w="1008" w:type="dxa"/>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right="43"/>
              <w:jc w:val="right"/>
              <w:rPr>
                <w:i/>
                <w:sz w:val="14"/>
                <w:szCs w:val="14"/>
              </w:rPr>
            </w:pPr>
            <w:r w:rsidRPr="000E1D69">
              <w:rPr>
                <w:i/>
                <w:sz w:val="14"/>
                <w:szCs w:val="14"/>
              </w:rPr>
              <w:t>Necesidades</w:t>
            </w:r>
            <w:r w:rsidRPr="000E1D69">
              <w:rPr>
                <w:i/>
                <w:sz w:val="14"/>
                <w:szCs w:val="14"/>
              </w:rPr>
              <w:br/>
              <w:t xml:space="preserve"> no periódicas</w:t>
            </w:r>
          </w:p>
        </w:tc>
        <w:tc>
          <w:tcPr>
            <w:tcW w:w="999" w:type="dxa"/>
            <w:tcBorders>
              <w:bottom w:val="single" w:sz="4" w:space="0" w:color="auto"/>
            </w:tcBorders>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right="43"/>
              <w:jc w:val="right"/>
              <w:rPr>
                <w:i/>
                <w:sz w:val="14"/>
                <w:szCs w:val="14"/>
              </w:rPr>
            </w:pPr>
            <w:r w:rsidRPr="000E1D69">
              <w:rPr>
                <w:i/>
                <w:sz w:val="14"/>
                <w:szCs w:val="14"/>
              </w:rPr>
              <w:t>Diferencia (2017-2016)</w:t>
            </w:r>
          </w:p>
        </w:tc>
        <w:tc>
          <w:tcPr>
            <w:tcW w:w="1035" w:type="dxa"/>
            <w:tcBorders>
              <w:bottom w:val="single" w:sz="4" w:space="0" w:color="auto"/>
            </w:tcBorders>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right="43"/>
              <w:jc w:val="right"/>
              <w:rPr>
                <w:i/>
                <w:sz w:val="14"/>
                <w:szCs w:val="14"/>
              </w:rPr>
            </w:pPr>
            <w:r w:rsidRPr="000E1D69">
              <w:rPr>
                <w:i/>
                <w:sz w:val="14"/>
                <w:szCs w:val="14"/>
              </w:rPr>
              <w:t xml:space="preserve">Necesidades </w:t>
            </w:r>
            <w:r w:rsidRPr="000E1D69">
              <w:rPr>
                <w:i/>
                <w:sz w:val="14"/>
                <w:szCs w:val="14"/>
              </w:rPr>
              <w:br/>
              <w:t>en cifras netas para 2017</w:t>
            </w:r>
            <w:r w:rsidRPr="000E1D69">
              <w:rPr>
                <w:i/>
                <w:sz w:val="14"/>
                <w:szCs w:val="14"/>
                <w:vertAlign w:val="superscript"/>
              </w:rPr>
              <w:t>a</w:t>
            </w:r>
          </w:p>
        </w:tc>
      </w:tr>
      <w:tr w:rsidR="004A6ED4" w:rsidRPr="000E1D69" w:rsidTr="00770077">
        <w:trPr>
          <w:tblHeader/>
        </w:trPr>
        <w:tc>
          <w:tcPr>
            <w:tcW w:w="1845" w:type="dxa"/>
            <w:vMerge/>
            <w:tcBorders>
              <w:bottom w:val="single" w:sz="12" w:space="0" w:color="auto"/>
            </w:tcBorders>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right="43"/>
              <w:rPr>
                <w:i/>
                <w:sz w:val="14"/>
                <w:szCs w:val="14"/>
              </w:rPr>
            </w:pPr>
          </w:p>
        </w:tc>
        <w:tc>
          <w:tcPr>
            <w:tcW w:w="1008" w:type="dxa"/>
            <w:tcBorders>
              <w:bottom w:val="single" w:sz="12" w:space="0" w:color="auto"/>
            </w:tcBorders>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left="14" w:right="43"/>
              <w:jc w:val="right"/>
              <w:rPr>
                <w:i/>
                <w:sz w:val="14"/>
                <w:szCs w:val="14"/>
              </w:rPr>
            </w:pPr>
            <w:r w:rsidRPr="000E1D69">
              <w:rPr>
                <w:i/>
                <w:sz w:val="14"/>
                <w:szCs w:val="14"/>
              </w:rPr>
              <w:t>(1)</w:t>
            </w:r>
          </w:p>
        </w:tc>
        <w:tc>
          <w:tcPr>
            <w:tcW w:w="900" w:type="dxa"/>
            <w:tcBorders>
              <w:bottom w:val="single" w:sz="12" w:space="0" w:color="auto"/>
            </w:tcBorders>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left="14" w:right="43"/>
              <w:jc w:val="right"/>
              <w:rPr>
                <w:i/>
                <w:sz w:val="14"/>
                <w:szCs w:val="14"/>
              </w:rPr>
            </w:pPr>
            <w:r w:rsidRPr="000E1D69">
              <w:rPr>
                <w:i/>
                <w:sz w:val="14"/>
                <w:szCs w:val="14"/>
              </w:rPr>
              <w:t>(2)</w:t>
            </w:r>
          </w:p>
        </w:tc>
        <w:tc>
          <w:tcPr>
            <w:tcW w:w="1044" w:type="dxa"/>
            <w:tcBorders>
              <w:bottom w:val="single" w:sz="12" w:space="0" w:color="auto"/>
            </w:tcBorders>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left="14" w:right="43"/>
              <w:jc w:val="right"/>
              <w:rPr>
                <w:i/>
                <w:sz w:val="14"/>
                <w:szCs w:val="14"/>
              </w:rPr>
            </w:pPr>
            <w:r w:rsidRPr="000E1D69">
              <w:rPr>
                <w:i/>
                <w:sz w:val="14"/>
                <w:szCs w:val="14"/>
              </w:rPr>
              <w:t>(3)=(1)-(2)</w:t>
            </w:r>
          </w:p>
        </w:tc>
        <w:tc>
          <w:tcPr>
            <w:tcW w:w="918" w:type="dxa"/>
            <w:tcBorders>
              <w:bottom w:val="single" w:sz="12" w:space="0" w:color="auto"/>
            </w:tcBorders>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left="14" w:right="43"/>
              <w:jc w:val="right"/>
              <w:rPr>
                <w:i/>
                <w:sz w:val="14"/>
                <w:szCs w:val="14"/>
              </w:rPr>
            </w:pPr>
            <w:r w:rsidRPr="000E1D69">
              <w:rPr>
                <w:i/>
                <w:sz w:val="14"/>
                <w:szCs w:val="14"/>
              </w:rPr>
              <w:t>(4)=(1)</w:t>
            </w:r>
          </w:p>
        </w:tc>
        <w:tc>
          <w:tcPr>
            <w:tcW w:w="117" w:type="dxa"/>
            <w:gridSpan w:val="3"/>
            <w:tcBorders>
              <w:bottom w:val="single" w:sz="12" w:space="0" w:color="auto"/>
            </w:tcBorders>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left="14" w:right="43"/>
              <w:jc w:val="right"/>
              <w:rPr>
                <w:i/>
                <w:sz w:val="14"/>
                <w:szCs w:val="14"/>
              </w:rPr>
            </w:pPr>
          </w:p>
        </w:tc>
        <w:tc>
          <w:tcPr>
            <w:tcW w:w="972" w:type="dxa"/>
            <w:tcBorders>
              <w:top w:val="single" w:sz="4" w:space="0" w:color="auto"/>
              <w:bottom w:val="single" w:sz="12" w:space="0" w:color="auto"/>
            </w:tcBorders>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left="14" w:right="43"/>
              <w:jc w:val="right"/>
              <w:rPr>
                <w:i/>
                <w:sz w:val="14"/>
                <w:szCs w:val="14"/>
              </w:rPr>
            </w:pPr>
            <w:r w:rsidRPr="000E1D69">
              <w:rPr>
                <w:i/>
                <w:sz w:val="14"/>
                <w:szCs w:val="14"/>
              </w:rPr>
              <w:t>(5)</w:t>
            </w:r>
          </w:p>
        </w:tc>
        <w:tc>
          <w:tcPr>
            <w:tcW w:w="1008" w:type="dxa"/>
            <w:tcBorders>
              <w:top w:val="single" w:sz="4" w:space="0" w:color="auto"/>
              <w:bottom w:val="single" w:sz="12" w:space="0" w:color="auto"/>
            </w:tcBorders>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left="14" w:right="43"/>
              <w:jc w:val="right"/>
              <w:rPr>
                <w:i/>
                <w:sz w:val="14"/>
                <w:szCs w:val="14"/>
              </w:rPr>
            </w:pPr>
            <w:r w:rsidRPr="000E1D69">
              <w:rPr>
                <w:i/>
                <w:sz w:val="14"/>
                <w:szCs w:val="14"/>
              </w:rPr>
              <w:t>(6)</w:t>
            </w:r>
          </w:p>
        </w:tc>
        <w:tc>
          <w:tcPr>
            <w:tcW w:w="999" w:type="dxa"/>
            <w:tcBorders>
              <w:top w:val="single" w:sz="4" w:space="0" w:color="auto"/>
              <w:bottom w:val="single" w:sz="12" w:space="0" w:color="auto"/>
            </w:tcBorders>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left="14" w:right="43"/>
              <w:jc w:val="right"/>
              <w:rPr>
                <w:i/>
                <w:sz w:val="14"/>
                <w:szCs w:val="14"/>
              </w:rPr>
            </w:pPr>
            <w:r w:rsidRPr="000E1D69">
              <w:rPr>
                <w:i/>
                <w:sz w:val="14"/>
                <w:szCs w:val="14"/>
              </w:rPr>
              <w:t>(7)=(5)-(4)</w:t>
            </w:r>
          </w:p>
        </w:tc>
        <w:tc>
          <w:tcPr>
            <w:tcW w:w="1035" w:type="dxa"/>
            <w:tcBorders>
              <w:top w:val="single" w:sz="4" w:space="0" w:color="auto"/>
              <w:bottom w:val="single" w:sz="12" w:space="0" w:color="auto"/>
            </w:tcBorders>
            <w:shd w:val="clear" w:color="auto" w:fill="auto"/>
            <w:vAlign w:val="bottom"/>
          </w:tcPr>
          <w:p w:rsidR="004A6ED4" w:rsidRPr="000E1D69" w:rsidRDefault="004A6ED4" w:rsidP="00861408">
            <w:pPr>
              <w:tabs>
                <w:tab w:val="left" w:pos="288"/>
                <w:tab w:val="left" w:pos="576"/>
                <w:tab w:val="left" w:pos="864"/>
                <w:tab w:val="left" w:pos="1152"/>
              </w:tabs>
              <w:spacing w:before="80" w:after="80" w:line="160" w:lineRule="exact"/>
              <w:ind w:left="14" w:right="43"/>
              <w:jc w:val="right"/>
              <w:rPr>
                <w:i/>
                <w:sz w:val="14"/>
                <w:szCs w:val="14"/>
              </w:rPr>
            </w:pPr>
            <w:r w:rsidRPr="000E1D69">
              <w:rPr>
                <w:i/>
                <w:sz w:val="14"/>
                <w:szCs w:val="14"/>
              </w:rPr>
              <w:t>(8)=(5)-(3)</w:t>
            </w:r>
          </w:p>
        </w:tc>
      </w:tr>
      <w:tr w:rsidR="004A6ED4" w:rsidRPr="000E1D69" w:rsidTr="00770077">
        <w:trPr>
          <w:trHeight w:hRule="exact" w:val="115"/>
          <w:tblHeader/>
        </w:trPr>
        <w:tc>
          <w:tcPr>
            <w:tcW w:w="1845" w:type="dxa"/>
            <w:tcBorders>
              <w:top w:val="single" w:sz="12" w:space="0" w:color="auto"/>
            </w:tcBorders>
            <w:shd w:val="clear" w:color="auto" w:fill="auto"/>
            <w:vAlign w:val="bottom"/>
          </w:tcPr>
          <w:p w:rsidR="004A6ED4" w:rsidRPr="000E1D69" w:rsidRDefault="004A6ED4" w:rsidP="004D26EA">
            <w:pPr>
              <w:tabs>
                <w:tab w:val="left" w:pos="288"/>
                <w:tab w:val="left" w:pos="576"/>
                <w:tab w:val="left" w:pos="864"/>
                <w:tab w:val="left" w:pos="1152"/>
              </w:tabs>
              <w:spacing w:before="40" w:after="40" w:line="210" w:lineRule="exact"/>
              <w:ind w:right="43"/>
              <w:rPr>
                <w:sz w:val="17"/>
              </w:rPr>
            </w:pPr>
          </w:p>
        </w:tc>
        <w:tc>
          <w:tcPr>
            <w:tcW w:w="1008" w:type="dxa"/>
            <w:tcBorders>
              <w:top w:val="single" w:sz="12" w:space="0" w:color="auto"/>
            </w:tcBorders>
            <w:shd w:val="clear" w:color="auto" w:fill="auto"/>
            <w:vAlign w:val="bottom"/>
          </w:tcPr>
          <w:p w:rsidR="004A6ED4" w:rsidRPr="000E1D69" w:rsidRDefault="004A6ED4" w:rsidP="004D26EA">
            <w:pPr>
              <w:tabs>
                <w:tab w:val="left" w:pos="288"/>
                <w:tab w:val="left" w:pos="576"/>
                <w:tab w:val="left" w:pos="864"/>
                <w:tab w:val="left" w:pos="1152"/>
              </w:tabs>
              <w:spacing w:before="40" w:after="40" w:line="210" w:lineRule="exact"/>
              <w:ind w:left="14" w:right="43"/>
              <w:jc w:val="right"/>
              <w:rPr>
                <w:sz w:val="17"/>
              </w:rPr>
            </w:pPr>
          </w:p>
        </w:tc>
        <w:tc>
          <w:tcPr>
            <w:tcW w:w="900" w:type="dxa"/>
            <w:tcBorders>
              <w:top w:val="single" w:sz="12" w:space="0" w:color="auto"/>
            </w:tcBorders>
            <w:shd w:val="clear" w:color="auto" w:fill="auto"/>
            <w:vAlign w:val="bottom"/>
          </w:tcPr>
          <w:p w:rsidR="004A6ED4" w:rsidRPr="000E1D69" w:rsidRDefault="004A6ED4" w:rsidP="004D26EA">
            <w:pPr>
              <w:tabs>
                <w:tab w:val="left" w:pos="288"/>
                <w:tab w:val="left" w:pos="576"/>
                <w:tab w:val="left" w:pos="864"/>
                <w:tab w:val="left" w:pos="1152"/>
              </w:tabs>
              <w:spacing w:before="40" w:after="40" w:line="210" w:lineRule="exact"/>
              <w:ind w:left="14" w:right="43"/>
              <w:jc w:val="right"/>
              <w:rPr>
                <w:sz w:val="17"/>
              </w:rPr>
            </w:pPr>
          </w:p>
        </w:tc>
        <w:tc>
          <w:tcPr>
            <w:tcW w:w="1044" w:type="dxa"/>
            <w:tcBorders>
              <w:top w:val="single" w:sz="12" w:space="0" w:color="auto"/>
            </w:tcBorders>
            <w:shd w:val="clear" w:color="auto" w:fill="auto"/>
            <w:vAlign w:val="bottom"/>
          </w:tcPr>
          <w:p w:rsidR="004A6ED4" w:rsidRPr="000E1D69" w:rsidRDefault="004A6ED4" w:rsidP="004D26EA">
            <w:pPr>
              <w:tabs>
                <w:tab w:val="left" w:pos="288"/>
                <w:tab w:val="left" w:pos="576"/>
                <w:tab w:val="left" w:pos="864"/>
                <w:tab w:val="left" w:pos="1152"/>
              </w:tabs>
              <w:spacing w:before="40" w:after="40" w:line="210" w:lineRule="exact"/>
              <w:ind w:left="14" w:right="43"/>
              <w:jc w:val="right"/>
              <w:rPr>
                <w:sz w:val="17"/>
              </w:rPr>
            </w:pPr>
          </w:p>
        </w:tc>
        <w:tc>
          <w:tcPr>
            <w:tcW w:w="918" w:type="dxa"/>
            <w:tcBorders>
              <w:top w:val="single" w:sz="12" w:space="0" w:color="auto"/>
            </w:tcBorders>
            <w:shd w:val="clear" w:color="auto" w:fill="auto"/>
            <w:vAlign w:val="bottom"/>
          </w:tcPr>
          <w:p w:rsidR="004A6ED4" w:rsidRPr="000E1D69" w:rsidRDefault="004A6ED4" w:rsidP="004D26EA">
            <w:pPr>
              <w:tabs>
                <w:tab w:val="left" w:pos="288"/>
                <w:tab w:val="left" w:pos="576"/>
                <w:tab w:val="left" w:pos="864"/>
                <w:tab w:val="left" w:pos="1152"/>
              </w:tabs>
              <w:spacing w:before="40" w:after="40" w:line="210" w:lineRule="exact"/>
              <w:ind w:left="14" w:right="43"/>
              <w:jc w:val="right"/>
              <w:rPr>
                <w:sz w:val="17"/>
              </w:rPr>
            </w:pPr>
          </w:p>
        </w:tc>
        <w:tc>
          <w:tcPr>
            <w:tcW w:w="1089" w:type="dxa"/>
            <w:gridSpan w:val="4"/>
            <w:tcBorders>
              <w:top w:val="single" w:sz="12" w:space="0" w:color="auto"/>
            </w:tcBorders>
            <w:shd w:val="clear" w:color="auto" w:fill="auto"/>
            <w:vAlign w:val="bottom"/>
          </w:tcPr>
          <w:p w:rsidR="004A6ED4" w:rsidRPr="000E1D69" w:rsidRDefault="004A6ED4" w:rsidP="004D26EA">
            <w:pPr>
              <w:tabs>
                <w:tab w:val="left" w:pos="288"/>
                <w:tab w:val="left" w:pos="576"/>
                <w:tab w:val="left" w:pos="864"/>
                <w:tab w:val="left" w:pos="1152"/>
              </w:tabs>
              <w:spacing w:before="40" w:after="40" w:line="210" w:lineRule="exact"/>
              <w:ind w:left="14" w:right="43"/>
              <w:jc w:val="right"/>
              <w:rPr>
                <w:sz w:val="17"/>
              </w:rPr>
            </w:pPr>
          </w:p>
        </w:tc>
        <w:tc>
          <w:tcPr>
            <w:tcW w:w="1008" w:type="dxa"/>
            <w:tcBorders>
              <w:top w:val="single" w:sz="12" w:space="0" w:color="auto"/>
            </w:tcBorders>
            <w:shd w:val="clear" w:color="auto" w:fill="auto"/>
            <w:vAlign w:val="bottom"/>
          </w:tcPr>
          <w:p w:rsidR="004A6ED4" w:rsidRPr="000E1D69" w:rsidRDefault="004A6ED4" w:rsidP="004D26EA">
            <w:pPr>
              <w:tabs>
                <w:tab w:val="left" w:pos="288"/>
                <w:tab w:val="left" w:pos="576"/>
                <w:tab w:val="left" w:pos="864"/>
                <w:tab w:val="left" w:pos="1152"/>
              </w:tabs>
              <w:spacing w:before="40" w:after="40" w:line="210" w:lineRule="exact"/>
              <w:ind w:left="14" w:right="43"/>
              <w:jc w:val="right"/>
              <w:rPr>
                <w:sz w:val="17"/>
              </w:rPr>
            </w:pPr>
          </w:p>
        </w:tc>
        <w:tc>
          <w:tcPr>
            <w:tcW w:w="999" w:type="dxa"/>
            <w:tcBorders>
              <w:top w:val="single" w:sz="12" w:space="0" w:color="auto"/>
            </w:tcBorders>
            <w:shd w:val="clear" w:color="auto" w:fill="auto"/>
            <w:vAlign w:val="bottom"/>
          </w:tcPr>
          <w:p w:rsidR="004A6ED4" w:rsidRPr="000E1D69" w:rsidRDefault="004A6ED4" w:rsidP="004D26EA">
            <w:pPr>
              <w:tabs>
                <w:tab w:val="left" w:pos="288"/>
                <w:tab w:val="left" w:pos="576"/>
                <w:tab w:val="left" w:pos="864"/>
                <w:tab w:val="left" w:pos="1152"/>
              </w:tabs>
              <w:spacing w:before="40" w:after="40" w:line="210" w:lineRule="exact"/>
              <w:ind w:left="14" w:right="43"/>
              <w:jc w:val="right"/>
              <w:rPr>
                <w:sz w:val="17"/>
              </w:rPr>
            </w:pPr>
          </w:p>
        </w:tc>
        <w:tc>
          <w:tcPr>
            <w:tcW w:w="1035" w:type="dxa"/>
            <w:tcBorders>
              <w:top w:val="single" w:sz="12" w:space="0" w:color="auto"/>
            </w:tcBorders>
            <w:shd w:val="clear" w:color="auto" w:fill="auto"/>
            <w:vAlign w:val="bottom"/>
          </w:tcPr>
          <w:p w:rsidR="004A6ED4" w:rsidRPr="000E1D69" w:rsidRDefault="004A6ED4" w:rsidP="004D26EA">
            <w:pPr>
              <w:tabs>
                <w:tab w:val="left" w:pos="288"/>
                <w:tab w:val="left" w:pos="576"/>
                <w:tab w:val="left" w:pos="864"/>
                <w:tab w:val="left" w:pos="1152"/>
              </w:tabs>
              <w:spacing w:before="40" w:after="40" w:line="210" w:lineRule="exact"/>
              <w:ind w:left="14" w:right="43"/>
              <w:jc w:val="right"/>
              <w:rPr>
                <w:sz w:val="17"/>
              </w:rPr>
            </w:pPr>
          </w:p>
        </w:tc>
      </w:tr>
      <w:tr w:rsidR="004A6ED4" w:rsidRPr="000E1D69" w:rsidTr="00770077">
        <w:tc>
          <w:tcPr>
            <w:tcW w:w="1845" w:type="dxa"/>
            <w:shd w:val="clear" w:color="auto" w:fill="auto"/>
            <w:vAlign w:val="bottom"/>
          </w:tcPr>
          <w:p w:rsidR="004A6ED4" w:rsidRPr="000E1D69" w:rsidRDefault="004A6ED4" w:rsidP="004D26EA">
            <w:pPr>
              <w:tabs>
                <w:tab w:val="left" w:pos="288"/>
                <w:tab w:val="left" w:pos="576"/>
                <w:tab w:val="left" w:pos="864"/>
                <w:tab w:val="left" w:pos="1152"/>
              </w:tabs>
              <w:spacing w:before="40" w:after="40" w:line="210" w:lineRule="exact"/>
              <w:ind w:right="43"/>
              <w:rPr>
                <w:spacing w:val="2"/>
                <w:sz w:val="17"/>
                <w:szCs w:val="17"/>
              </w:rPr>
            </w:pPr>
            <w:r w:rsidRPr="000E1D69">
              <w:rPr>
                <w:sz w:val="17"/>
              </w:rPr>
              <w:t>Gastos de personal civil</w:t>
            </w:r>
          </w:p>
        </w:tc>
        <w:tc>
          <w:tcPr>
            <w:tcW w:w="1008" w:type="dxa"/>
            <w:shd w:val="clear" w:color="auto" w:fill="auto"/>
            <w:vAlign w:val="bottom"/>
          </w:tcPr>
          <w:p w:rsidR="004A6ED4" w:rsidRPr="000E1D69" w:rsidRDefault="004A6ED4" w:rsidP="00EC3686">
            <w:pPr>
              <w:tabs>
                <w:tab w:val="left" w:pos="288"/>
                <w:tab w:val="left" w:pos="576"/>
                <w:tab w:val="left" w:pos="864"/>
                <w:tab w:val="left" w:pos="1152"/>
              </w:tabs>
              <w:spacing w:before="40" w:after="40" w:line="210" w:lineRule="exact"/>
              <w:ind w:right="43"/>
              <w:jc w:val="right"/>
              <w:rPr>
                <w:sz w:val="17"/>
                <w:szCs w:val="17"/>
              </w:rPr>
            </w:pPr>
            <w:r w:rsidRPr="000E1D69">
              <w:rPr>
                <w:sz w:val="17"/>
              </w:rPr>
              <w:t>3 804,8</w:t>
            </w:r>
          </w:p>
        </w:tc>
        <w:tc>
          <w:tcPr>
            <w:tcW w:w="900" w:type="dxa"/>
            <w:shd w:val="clear" w:color="auto" w:fill="auto"/>
            <w:vAlign w:val="bottom"/>
          </w:tcPr>
          <w:p w:rsidR="004A6ED4" w:rsidRPr="000E1D69" w:rsidRDefault="004A6ED4" w:rsidP="00EC3686">
            <w:pPr>
              <w:tabs>
                <w:tab w:val="left" w:pos="288"/>
                <w:tab w:val="left" w:pos="576"/>
                <w:tab w:val="left" w:pos="864"/>
                <w:tab w:val="left" w:pos="1152"/>
              </w:tabs>
              <w:spacing w:before="40" w:after="40" w:line="210" w:lineRule="exact"/>
              <w:ind w:right="43"/>
              <w:jc w:val="right"/>
              <w:rPr>
                <w:sz w:val="17"/>
                <w:szCs w:val="17"/>
              </w:rPr>
            </w:pPr>
            <w:r w:rsidRPr="000E1D69">
              <w:rPr>
                <w:sz w:val="17"/>
              </w:rPr>
              <w:t>4 480,4</w:t>
            </w:r>
          </w:p>
        </w:tc>
        <w:tc>
          <w:tcPr>
            <w:tcW w:w="1044" w:type="dxa"/>
            <w:shd w:val="clear" w:color="auto" w:fill="auto"/>
            <w:vAlign w:val="bottom"/>
          </w:tcPr>
          <w:p w:rsidR="004A6ED4" w:rsidRPr="000E1D69" w:rsidRDefault="004A6ED4" w:rsidP="00EC3686">
            <w:pPr>
              <w:tabs>
                <w:tab w:val="left" w:pos="288"/>
                <w:tab w:val="left" w:pos="576"/>
                <w:tab w:val="left" w:pos="864"/>
                <w:tab w:val="left" w:pos="1152"/>
              </w:tabs>
              <w:spacing w:before="40" w:after="40" w:line="210" w:lineRule="exact"/>
              <w:ind w:right="43"/>
              <w:jc w:val="right"/>
              <w:rPr>
                <w:sz w:val="17"/>
                <w:szCs w:val="17"/>
              </w:rPr>
            </w:pPr>
            <w:r w:rsidRPr="000E1D69">
              <w:rPr>
                <w:sz w:val="17"/>
              </w:rPr>
              <w:t>(675,6)</w:t>
            </w:r>
          </w:p>
        </w:tc>
        <w:tc>
          <w:tcPr>
            <w:tcW w:w="918" w:type="dxa"/>
            <w:shd w:val="clear" w:color="auto" w:fill="auto"/>
            <w:vAlign w:val="bottom"/>
          </w:tcPr>
          <w:p w:rsidR="004A6ED4" w:rsidRPr="000E1D69" w:rsidRDefault="004A6ED4" w:rsidP="00EC3686">
            <w:pPr>
              <w:tabs>
                <w:tab w:val="left" w:pos="288"/>
                <w:tab w:val="left" w:pos="576"/>
                <w:tab w:val="left" w:pos="864"/>
                <w:tab w:val="left" w:pos="1152"/>
              </w:tabs>
              <w:spacing w:before="40" w:after="40" w:line="210" w:lineRule="exact"/>
              <w:ind w:right="43"/>
              <w:jc w:val="right"/>
              <w:rPr>
                <w:sz w:val="17"/>
                <w:szCs w:val="17"/>
              </w:rPr>
            </w:pPr>
            <w:r w:rsidRPr="000E1D69">
              <w:rPr>
                <w:sz w:val="17"/>
              </w:rPr>
              <w:t>3 804,8</w:t>
            </w:r>
          </w:p>
        </w:tc>
        <w:tc>
          <w:tcPr>
            <w:tcW w:w="1089" w:type="dxa"/>
            <w:gridSpan w:val="4"/>
            <w:shd w:val="clear" w:color="auto" w:fill="auto"/>
            <w:vAlign w:val="bottom"/>
          </w:tcPr>
          <w:p w:rsidR="004A6ED4" w:rsidRPr="000E1D69" w:rsidRDefault="004A6ED4" w:rsidP="00EC3686">
            <w:pPr>
              <w:tabs>
                <w:tab w:val="left" w:pos="288"/>
                <w:tab w:val="left" w:pos="576"/>
                <w:tab w:val="left" w:pos="864"/>
                <w:tab w:val="left" w:pos="1152"/>
              </w:tabs>
              <w:spacing w:before="40" w:after="40" w:line="210" w:lineRule="exact"/>
              <w:ind w:right="43"/>
              <w:jc w:val="right"/>
              <w:rPr>
                <w:sz w:val="17"/>
                <w:szCs w:val="17"/>
              </w:rPr>
            </w:pPr>
            <w:r w:rsidRPr="000E1D69">
              <w:rPr>
                <w:sz w:val="17"/>
              </w:rPr>
              <w:t>8 912,9</w:t>
            </w:r>
          </w:p>
        </w:tc>
        <w:tc>
          <w:tcPr>
            <w:tcW w:w="1008" w:type="dxa"/>
            <w:shd w:val="clear" w:color="auto" w:fill="auto"/>
            <w:vAlign w:val="bottom"/>
          </w:tcPr>
          <w:p w:rsidR="004A6ED4" w:rsidRPr="000E1D69" w:rsidRDefault="004A6ED4" w:rsidP="00EC3686">
            <w:pPr>
              <w:tabs>
                <w:tab w:val="decimal" w:pos="828"/>
              </w:tabs>
              <w:spacing w:before="40" w:after="40" w:line="210" w:lineRule="exact"/>
              <w:rPr>
                <w:sz w:val="17"/>
                <w:szCs w:val="17"/>
              </w:rPr>
            </w:pPr>
            <w:r w:rsidRPr="000E1D69">
              <w:rPr>
                <w:sz w:val="17"/>
              </w:rPr>
              <w:t>–</w:t>
            </w:r>
          </w:p>
        </w:tc>
        <w:tc>
          <w:tcPr>
            <w:tcW w:w="999" w:type="dxa"/>
            <w:shd w:val="clear" w:color="auto" w:fill="auto"/>
            <w:vAlign w:val="bottom"/>
          </w:tcPr>
          <w:p w:rsidR="004A6ED4" w:rsidRPr="000E1D69" w:rsidRDefault="004A6ED4" w:rsidP="00EC3686">
            <w:pPr>
              <w:tabs>
                <w:tab w:val="left" w:pos="288"/>
                <w:tab w:val="left" w:pos="576"/>
                <w:tab w:val="left" w:pos="864"/>
                <w:tab w:val="left" w:pos="1152"/>
              </w:tabs>
              <w:spacing w:before="40" w:after="40" w:line="210" w:lineRule="exact"/>
              <w:ind w:right="43"/>
              <w:jc w:val="right"/>
              <w:rPr>
                <w:sz w:val="17"/>
                <w:szCs w:val="17"/>
              </w:rPr>
            </w:pPr>
            <w:r w:rsidRPr="000E1D69">
              <w:rPr>
                <w:sz w:val="17"/>
              </w:rPr>
              <w:t>5 108,1</w:t>
            </w:r>
          </w:p>
        </w:tc>
        <w:tc>
          <w:tcPr>
            <w:tcW w:w="1035" w:type="dxa"/>
            <w:shd w:val="clear" w:color="auto" w:fill="auto"/>
            <w:vAlign w:val="bottom"/>
          </w:tcPr>
          <w:p w:rsidR="004A6ED4" w:rsidRPr="000E1D69" w:rsidRDefault="004A6ED4" w:rsidP="00EC3686">
            <w:pPr>
              <w:tabs>
                <w:tab w:val="left" w:pos="288"/>
                <w:tab w:val="left" w:pos="576"/>
                <w:tab w:val="left" w:pos="864"/>
                <w:tab w:val="left" w:pos="1152"/>
              </w:tabs>
              <w:spacing w:before="40" w:after="40" w:line="210" w:lineRule="exact"/>
              <w:ind w:right="43"/>
              <w:jc w:val="right"/>
              <w:rPr>
                <w:sz w:val="17"/>
                <w:szCs w:val="17"/>
              </w:rPr>
            </w:pPr>
            <w:r w:rsidRPr="000E1D69">
              <w:rPr>
                <w:sz w:val="17"/>
              </w:rPr>
              <w:t>9 588,5</w:t>
            </w:r>
          </w:p>
        </w:tc>
      </w:tr>
      <w:tr w:rsidR="004A6ED4" w:rsidRPr="000E1D69" w:rsidTr="00770077">
        <w:tc>
          <w:tcPr>
            <w:tcW w:w="1845" w:type="dxa"/>
            <w:tcBorders>
              <w:bottom w:val="single" w:sz="4" w:space="0" w:color="auto"/>
            </w:tcBorders>
            <w:shd w:val="clear" w:color="auto" w:fill="auto"/>
            <w:vAlign w:val="bottom"/>
          </w:tcPr>
          <w:p w:rsidR="004A6ED4" w:rsidRPr="000E1D69" w:rsidRDefault="004A6ED4" w:rsidP="001C5B2A">
            <w:pPr>
              <w:keepNext/>
              <w:keepLines/>
              <w:tabs>
                <w:tab w:val="left" w:pos="288"/>
                <w:tab w:val="left" w:pos="576"/>
                <w:tab w:val="left" w:pos="864"/>
                <w:tab w:val="left" w:pos="1152"/>
              </w:tabs>
              <w:spacing w:before="40" w:after="81" w:line="210" w:lineRule="exact"/>
              <w:ind w:right="43"/>
              <w:rPr>
                <w:sz w:val="17"/>
                <w:szCs w:val="17"/>
              </w:rPr>
            </w:pPr>
            <w:r w:rsidRPr="000E1D69">
              <w:rPr>
                <w:sz w:val="17"/>
              </w:rPr>
              <w:t>Gastos operacionales</w:t>
            </w:r>
          </w:p>
        </w:tc>
        <w:tc>
          <w:tcPr>
            <w:tcW w:w="1008" w:type="dxa"/>
            <w:tcBorders>
              <w:bottom w:val="single" w:sz="4" w:space="0" w:color="auto"/>
            </w:tcBorders>
            <w:shd w:val="clear" w:color="auto" w:fill="auto"/>
            <w:vAlign w:val="bottom"/>
          </w:tcPr>
          <w:p w:rsidR="004A6ED4" w:rsidRPr="000E1D69" w:rsidRDefault="004A6ED4" w:rsidP="00EC3686">
            <w:pPr>
              <w:keepNext/>
              <w:keepLines/>
              <w:tabs>
                <w:tab w:val="left" w:pos="288"/>
                <w:tab w:val="left" w:pos="576"/>
                <w:tab w:val="left" w:pos="864"/>
                <w:tab w:val="left" w:pos="1152"/>
              </w:tabs>
              <w:spacing w:before="40" w:after="81" w:line="210" w:lineRule="exact"/>
              <w:ind w:right="43"/>
              <w:jc w:val="right"/>
              <w:rPr>
                <w:sz w:val="17"/>
                <w:szCs w:val="17"/>
              </w:rPr>
            </w:pPr>
            <w:r w:rsidRPr="000E1D69">
              <w:rPr>
                <w:sz w:val="17"/>
              </w:rPr>
              <w:t>2 925,3</w:t>
            </w:r>
          </w:p>
        </w:tc>
        <w:tc>
          <w:tcPr>
            <w:tcW w:w="900" w:type="dxa"/>
            <w:tcBorders>
              <w:bottom w:val="single" w:sz="4" w:space="0" w:color="auto"/>
            </w:tcBorders>
            <w:shd w:val="clear" w:color="auto" w:fill="auto"/>
            <w:vAlign w:val="bottom"/>
          </w:tcPr>
          <w:p w:rsidR="004A6ED4" w:rsidRPr="000E1D69" w:rsidRDefault="004A6ED4" w:rsidP="00EC3686">
            <w:pPr>
              <w:keepNext/>
              <w:keepLines/>
              <w:tabs>
                <w:tab w:val="left" w:pos="288"/>
                <w:tab w:val="left" w:pos="576"/>
                <w:tab w:val="left" w:pos="864"/>
                <w:tab w:val="left" w:pos="1152"/>
              </w:tabs>
              <w:spacing w:before="40" w:after="81" w:line="210" w:lineRule="exact"/>
              <w:ind w:right="43"/>
              <w:jc w:val="right"/>
              <w:rPr>
                <w:sz w:val="17"/>
                <w:szCs w:val="17"/>
              </w:rPr>
            </w:pPr>
            <w:r w:rsidRPr="000E1D69">
              <w:rPr>
                <w:sz w:val="17"/>
              </w:rPr>
              <w:t>3 436,0</w:t>
            </w:r>
          </w:p>
        </w:tc>
        <w:tc>
          <w:tcPr>
            <w:tcW w:w="1044" w:type="dxa"/>
            <w:tcBorders>
              <w:bottom w:val="single" w:sz="4" w:space="0" w:color="auto"/>
            </w:tcBorders>
            <w:shd w:val="clear" w:color="auto" w:fill="auto"/>
            <w:vAlign w:val="bottom"/>
          </w:tcPr>
          <w:p w:rsidR="004A6ED4" w:rsidRPr="000E1D69" w:rsidRDefault="004A6ED4" w:rsidP="00EC3686">
            <w:pPr>
              <w:keepNext/>
              <w:keepLines/>
              <w:tabs>
                <w:tab w:val="left" w:pos="288"/>
                <w:tab w:val="left" w:pos="576"/>
                <w:tab w:val="left" w:pos="864"/>
                <w:tab w:val="left" w:pos="1152"/>
              </w:tabs>
              <w:spacing w:before="40" w:after="81" w:line="210" w:lineRule="exact"/>
              <w:ind w:right="43"/>
              <w:jc w:val="right"/>
              <w:rPr>
                <w:sz w:val="17"/>
                <w:szCs w:val="17"/>
              </w:rPr>
            </w:pPr>
            <w:r w:rsidRPr="000E1D69">
              <w:rPr>
                <w:sz w:val="17"/>
              </w:rPr>
              <w:t>(510,7)</w:t>
            </w:r>
          </w:p>
        </w:tc>
        <w:tc>
          <w:tcPr>
            <w:tcW w:w="918" w:type="dxa"/>
            <w:tcBorders>
              <w:bottom w:val="single" w:sz="4" w:space="0" w:color="auto"/>
            </w:tcBorders>
            <w:shd w:val="clear" w:color="auto" w:fill="auto"/>
            <w:vAlign w:val="bottom"/>
          </w:tcPr>
          <w:p w:rsidR="004A6ED4" w:rsidRPr="000E1D69" w:rsidRDefault="004A6ED4" w:rsidP="00EC3686">
            <w:pPr>
              <w:keepNext/>
              <w:keepLines/>
              <w:tabs>
                <w:tab w:val="left" w:pos="288"/>
                <w:tab w:val="left" w:pos="576"/>
                <w:tab w:val="left" w:pos="864"/>
                <w:tab w:val="left" w:pos="1152"/>
              </w:tabs>
              <w:spacing w:before="40" w:after="81" w:line="210" w:lineRule="exact"/>
              <w:ind w:right="43"/>
              <w:jc w:val="right"/>
              <w:rPr>
                <w:sz w:val="17"/>
                <w:szCs w:val="17"/>
              </w:rPr>
            </w:pPr>
            <w:r w:rsidRPr="000E1D69">
              <w:rPr>
                <w:sz w:val="17"/>
              </w:rPr>
              <w:t>2 925,3</w:t>
            </w:r>
          </w:p>
        </w:tc>
        <w:tc>
          <w:tcPr>
            <w:tcW w:w="1089" w:type="dxa"/>
            <w:gridSpan w:val="4"/>
            <w:tcBorders>
              <w:bottom w:val="single" w:sz="4" w:space="0" w:color="auto"/>
            </w:tcBorders>
            <w:shd w:val="clear" w:color="auto" w:fill="auto"/>
            <w:vAlign w:val="bottom"/>
          </w:tcPr>
          <w:p w:rsidR="004A6ED4" w:rsidRPr="000E1D69" w:rsidRDefault="004A6ED4" w:rsidP="00EC3686">
            <w:pPr>
              <w:keepNext/>
              <w:keepLines/>
              <w:tabs>
                <w:tab w:val="left" w:pos="288"/>
                <w:tab w:val="left" w:pos="576"/>
                <w:tab w:val="left" w:pos="864"/>
                <w:tab w:val="left" w:pos="1152"/>
              </w:tabs>
              <w:spacing w:before="40" w:after="81" w:line="210" w:lineRule="exact"/>
              <w:ind w:right="43"/>
              <w:jc w:val="right"/>
              <w:rPr>
                <w:sz w:val="17"/>
                <w:szCs w:val="17"/>
              </w:rPr>
            </w:pPr>
            <w:r w:rsidRPr="000E1D69">
              <w:rPr>
                <w:sz w:val="17"/>
              </w:rPr>
              <w:t>6 574,4</w:t>
            </w:r>
          </w:p>
        </w:tc>
        <w:tc>
          <w:tcPr>
            <w:tcW w:w="1008" w:type="dxa"/>
            <w:tcBorders>
              <w:bottom w:val="single" w:sz="4" w:space="0" w:color="auto"/>
            </w:tcBorders>
            <w:shd w:val="clear" w:color="auto" w:fill="auto"/>
            <w:vAlign w:val="bottom"/>
          </w:tcPr>
          <w:p w:rsidR="004A6ED4" w:rsidRPr="000E1D69" w:rsidRDefault="004A6ED4" w:rsidP="00EC3686">
            <w:pPr>
              <w:keepNext/>
              <w:keepLines/>
              <w:tabs>
                <w:tab w:val="decimal" w:pos="828"/>
              </w:tabs>
              <w:spacing w:before="40" w:after="81" w:line="210" w:lineRule="exact"/>
              <w:rPr>
                <w:sz w:val="17"/>
                <w:szCs w:val="17"/>
              </w:rPr>
            </w:pPr>
            <w:r w:rsidRPr="000E1D69">
              <w:rPr>
                <w:sz w:val="17"/>
              </w:rPr>
              <w:t>1 382,0</w:t>
            </w:r>
          </w:p>
        </w:tc>
        <w:tc>
          <w:tcPr>
            <w:tcW w:w="999" w:type="dxa"/>
            <w:tcBorders>
              <w:bottom w:val="single" w:sz="4" w:space="0" w:color="auto"/>
            </w:tcBorders>
            <w:shd w:val="clear" w:color="auto" w:fill="auto"/>
            <w:vAlign w:val="bottom"/>
          </w:tcPr>
          <w:p w:rsidR="004A6ED4" w:rsidRPr="000E1D69" w:rsidRDefault="004A6ED4" w:rsidP="00EC3686">
            <w:pPr>
              <w:keepNext/>
              <w:keepLines/>
              <w:tabs>
                <w:tab w:val="left" w:pos="288"/>
                <w:tab w:val="left" w:pos="576"/>
                <w:tab w:val="left" w:pos="864"/>
                <w:tab w:val="left" w:pos="1152"/>
              </w:tabs>
              <w:spacing w:before="40" w:after="81" w:line="210" w:lineRule="exact"/>
              <w:ind w:right="43"/>
              <w:jc w:val="right"/>
              <w:rPr>
                <w:sz w:val="17"/>
                <w:szCs w:val="17"/>
              </w:rPr>
            </w:pPr>
            <w:r w:rsidRPr="000E1D69">
              <w:rPr>
                <w:sz w:val="17"/>
              </w:rPr>
              <w:t>3 649,1</w:t>
            </w:r>
          </w:p>
        </w:tc>
        <w:tc>
          <w:tcPr>
            <w:tcW w:w="1035" w:type="dxa"/>
            <w:tcBorders>
              <w:bottom w:val="single" w:sz="4" w:space="0" w:color="auto"/>
            </w:tcBorders>
            <w:shd w:val="clear" w:color="auto" w:fill="auto"/>
            <w:vAlign w:val="bottom"/>
          </w:tcPr>
          <w:p w:rsidR="004A6ED4" w:rsidRPr="000E1D69" w:rsidRDefault="004A6ED4" w:rsidP="00EC3686">
            <w:pPr>
              <w:keepNext/>
              <w:keepLines/>
              <w:tabs>
                <w:tab w:val="left" w:pos="288"/>
                <w:tab w:val="left" w:pos="576"/>
                <w:tab w:val="left" w:pos="864"/>
                <w:tab w:val="left" w:pos="1152"/>
              </w:tabs>
              <w:spacing w:before="40" w:after="81" w:line="210" w:lineRule="exact"/>
              <w:ind w:right="43"/>
              <w:jc w:val="right"/>
              <w:rPr>
                <w:sz w:val="17"/>
                <w:szCs w:val="17"/>
              </w:rPr>
            </w:pPr>
            <w:r w:rsidRPr="000E1D69">
              <w:rPr>
                <w:sz w:val="17"/>
              </w:rPr>
              <w:t>7 085,1</w:t>
            </w:r>
          </w:p>
        </w:tc>
      </w:tr>
      <w:tr w:rsidR="004A6ED4" w:rsidRPr="000E1D69" w:rsidTr="00770077">
        <w:tc>
          <w:tcPr>
            <w:tcW w:w="1845" w:type="dxa"/>
            <w:tcBorders>
              <w:top w:val="single" w:sz="4" w:space="0" w:color="auto"/>
              <w:bottom w:val="single" w:sz="12" w:space="0" w:color="auto"/>
            </w:tcBorders>
            <w:shd w:val="clear" w:color="auto" w:fill="auto"/>
            <w:vAlign w:val="bottom"/>
          </w:tcPr>
          <w:p w:rsidR="004A6ED4" w:rsidRPr="000E1D69" w:rsidRDefault="004A6ED4" w:rsidP="001C5B2A">
            <w:pPr>
              <w:keepNext/>
              <w:keepLines/>
              <w:tabs>
                <w:tab w:val="left" w:pos="288"/>
                <w:tab w:val="left" w:pos="576"/>
                <w:tab w:val="left" w:pos="864"/>
                <w:tab w:val="left" w:pos="1152"/>
              </w:tabs>
              <w:spacing w:before="81" w:after="81" w:line="210" w:lineRule="exact"/>
              <w:ind w:right="43"/>
              <w:rPr>
                <w:b/>
                <w:sz w:val="17"/>
                <w:szCs w:val="17"/>
              </w:rPr>
            </w:pPr>
            <w:r w:rsidRPr="000E1D69">
              <w:rPr>
                <w:b/>
                <w:sz w:val="17"/>
              </w:rPr>
              <w:tab/>
              <w:t>Total</w:t>
            </w:r>
          </w:p>
        </w:tc>
        <w:tc>
          <w:tcPr>
            <w:tcW w:w="1008" w:type="dxa"/>
            <w:tcBorders>
              <w:top w:val="single" w:sz="4" w:space="0" w:color="auto"/>
              <w:bottom w:val="single" w:sz="12" w:space="0" w:color="auto"/>
            </w:tcBorders>
            <w:shd w:val="clear" w:color="auto" w:fill="auto"/>
            <w:vAlign w:val="bottom"/>
          </w:tcPr>
          <w:p w:rsidR="004A6ED4" w:rsidRPr="000E1D69" w:rsidRDefault="004A6ED4" w:rsidP="00EC3686">
            <w:pPr>
              <w:keepNext/>
              <w:keepLines/>
              <w:tabs>
                <w:tab w:val="left" w:pos="288"/>
                <w:tab w:val="left" w:pos="576"/>
                <w:tab w:val="left" w:pos="864"/>
                <w:tab w:val="left" w:pos="1152"/>
              </w:tabs>
              <w:spacing w:before="81" w:after="81" w:line="210" w:lineRule="exact"/>
              <w:ind w:right="43"/>
              <w:jc w:val="right"/>
              <w:rPr>
                <w:b/>
                <w:sz w:val="17"/>
                <w:szCs w:val="17"/>
              </w:rPr>
            </w:pPr>
            <w:r w:rsidRPr="000E1D69">
              <w:rPr>
                <w:b/>
                <w:sz w:val="17"/>
              </w:rPr>
              <w:t>6 730,1</w:t>
            </w:r>
          </w:p>
        </w:tc>
        <w:tc>
          <w:tcPr>
            <w:tcW w:w="900" w:type="dxa"/>
            <w:tcBorders>
              <w:top w:val="single" w:sz="4" w:space="0" w:color="auto"/>
              <w:bottom w:val="single" w:sz="12" w:space="0" w:color="auto"/>
            </w:tcBorders>
            <w:shd w:val="clear" w:color="auto" w:fill="auto"/>
            <w:vAlign w:val="bottom"/>
          </w:tcPr>
          <w:p w:rsidR="004A6ED4" w:rsidRPr="000E1D69" w:rsidRDefault="004A6ED4" w:rsidP="00EC3686">
            <w:pPr>
              <w:keepNext/>
              <w:keepLines/>
              <w:tabs>
                <w:tab w:val="left" w:pos="288"/>
                <w:tab w:val="left" w:pos="576"/>
                <w:tab w:val="left" w:pos="864"/>
                <w:tab w:val="left" w:pos="1152"/>
              </w:tabs>
              <w:spacing w:before="81" w:after="81" w:line="210" w:lineRule="exact"/>
              <w:ind w:right="43"/>
              <w:jc w:val="right"/>
              <w:rPr>
                <w:b/>
                <w:sz w:val="17"/>
                <w:szCs w:val="17"/>
              </w:rPr>
            </w:pPr>
            <w:r w:rsidRPr="000E1D69">
              <w:rPr>
                <w:b/>
                <w:sz w:val="17"/>
              </w:rPr>
              <w:t>7 916,4</w:t>
            </w:r>
          </w:p>
        </w:tc>
        <w:tc>
          <w:tcPr>
            <w:tcW w:w="1044" w:type="dxa"/>
            <w:tcBorders>
              <w:top w:val="single" w:sz="4" w:space="0" w:color="auto"/>
              <w:bottom w:val="single" w:sz="12" w:space="0" w:color="auto"/>
            </w:tcBorders>
            <w:shd w:val="clear" w:color="auto" w:fill="auto"/>
            <w:vAlign w:val="bottom"/>
          </w:tcPr>
          <w:p w:rsidR="004A6ED4" w:rsidRPr="000E1D69" w:rsidRDefault="004A6ED4" w:rsidP="00EC3686">
            <w:pPr>
              <w:keepNext/>
              <w:keepLines/>
              <w:tabs>
                <w:tab w:val="left" w:pos="288"/>
                <w:tab w:val="left" w:pos="576"/>
                <w:tab w:val="left" w:pos="864"/>
                <w:tab w:val="left" w:pos="1152"/>
              </w:tabs>
              <w:spacing w:before="81" w:after="81" w:line="210" w:lineRule="exact"/>
              <w:ind w:right="43"/>
              <w:jc w:val="right"/>
              <w:rPr>
                <w:b/>
                <w:sz w:val="17"/>
                <w:szCs w:val="17"/>
              </w:rPr>
            </w:pPr>
            <w:r w:rsidRPr="000E1D69">
              <w:rPr>
                <w:b/>
                <w:sz w:val="17"/>
              </w:rPr>
              <w:t>(1 186,3)</w:t>
            </w:r>
          </w:p>
        </w:tc>
        <w:tc>
          <w:tcPr>
            <w:tcW w:w="918" w:type="dxa"/>
            <w:tcBorders>
              <w:top w:val="single" w:sz="4" w:space="0" w:color="auto"/>
              <w:bottom w:val="single" w:sz="12" w:space="0" w:color="auto"/>
            </w:tcBorders>
            <w:shd w:val="clear" w:color="auto" w:fill="auto"/>
            <w:vAlign w:val="bottom"/>
          </w:tcPr>
          <w:p w:rsidR="004A6ED4" w:rsidRPr="000E1D69" w:rsidRDefault="004A6ED4" w:rsidP="00EC3686">
            <w:pPr>
              <w:keepNext/>
              <w:keepLines/>
              <w:tabs>
                <w:tab w:val="left" w:pos="288"/>
                <w:tab w:val="left" w:pos="576"/>
                <w:tab w:val="left" w:pos="864"/>
                <w:tab w:val="left" w:pos="1152"/>
              </w:tabs>
              <w:spacing w:before="81" w:after="81" w:line="210" w:lineRule="exact"/>
              <w:ind w:right="43"/>
              <w:jc w:val="right"/>
              <w:rPr>
                <w:b/>
                <w:sz w:val="17"/>
                <w:szCs w:val="17"/>
              </w:rPr>
            </w:pPr>
            <w:r w:rsidRPr="000E1D69">
              <w:rPr>
                <w:b/>
                <w:sz w:val="17"/>
              </w:rPr>
              <w:t>6 730,1</w:t>
            </w:r>
          </w:p>
        </w:tc>
        <w:tc>
          <w:tcPr>
            <w:tcW w:w="1089" w:type="dxa"/>
            <w:gridSpan w:val="4"/>
            <w:tcBorders>
              <w:top w:val="single" w:sz="4" w:space="0" w:color="auto"/>
              <w:bottom w:val="single" w:sz="12" w:space="0" w:color="auto"/>
            </w:tcBorders>
            <w:shd w:val="clear" w:color="auto" w:fill="auto"/>
            <w:vAlign w:val="bottom"/>
          </w:tcPr>
          <w:p w:rsidR="004A6ED4" w:rsidRPr="000E1D69" w:rsidRDefault="004A6ED4" w:rsidP="00EC3686">
            <w:pPr>
              <w:keepNext/>
              <w:keepLines/>
              <w:tabs>
                <w:tab w:val="left" w:pos="288"/>
                <w:tab w:val="left" w:pos="576"/>
                <w:tab w:val="left" w:pos="864"/>
                <w:tab w:val="left" w:pos="1152"/>
              </w:tabs>
              <w:spacing w:before="81" w:after="81" w:line="210" w:lineRule="exact"/>
              <w:ind w:right="43"/>
              <w:jc w:val="right"/>
              <w:rPr>
                <w:b/>
                <w:sz w:val="17"/>
                <w:szCs w:val="17"/>
              </w:rPr>
            </w:pPr>
            <w:r w:rsidRPr="000E1D69">
              <w:rPr>
                <w:b/>
                <w:sz w:val="17"/>
              </w:rPr>
              <w:t>15 487,3</w:t>
            </w:r>
          </w:p>
        </w:tc>
        <w:tc>
          <w:tcPr>
            <w:tcW w:w="1008" w:type="dxa"/>
            <w:tcBorders>
              <w:top w:val="single" w:sz="4" w:space="0" w:color="auto"/>
              <w:bottom w:val="single" w:sz="12" w:space="0" w:color="auto"/>
            </w:tcBorders>
            <w:shd w:val="clear" w:color="auto" w:fill="auto"/>
            <w:vAlign w:val="bottom"/>
          </w:tcPr>
          <w:p w:rsidR="004A6ED4" w:rsidRPr="000E1D69" w:rsidRDefault="004A6ED4" w:rsidP="00EC3686">
            <w:pPr>
              <w:keepNext/>
              <w:keepLines/>
              <w:tabs>
                <w:tab w:val="decimal" w:pos="828"/>
              </w:tabs>
              <w:spacing w:before="81" w:after="81" w:line="210" w:lineRule="exact"/>
              <w:rPr>
                <w:b/>
                <w:sz w:val="17"/>
                <w:szCs w:val="17"/>
              </w:rPr>
            </w:pPr>
            <w:r w:rsidRPr="000E1D69">
              <w:rPr>
                <w:b/>
                <w:sz w:val="17"/>
              </w:rPr>
              <w:t>1 382,0</w:t>
            </w:r>
          </w:p>
        </w:tc>
        <w:tc>
          <w:tcPr>
            <w:tcW w:w="999" w:type="dxa"/>
            <w:tcBorders>
              <w:top w:val="single" w:sz="4" w:space="0" w:color="auto"/>
              <w:bottom w:val="single" w:sz="12" w:space="0" w:color="auto"/>
            </w:tcBorders>
            <w:shd w:val="clear" w:color="auto" w:fill="auto"/>
            <w:vAlign w:val="bottom"/>
          </w:tcPr>
          <w:p w:rsidR="004A6ED4" w:rsidRPr="000E1D69" w:rsidRDefault="004A6ED4" w:rsidP="00EC3686">
            <w:pPr>
              <w:keepNext/>
              <w:keepLines/>
              <w:tabs>
                <w:tab w:val="left" w:pos="288"/>
                <w:tab w:val="left" w:pos="576"/>
                <w:tab w:val="left" w:pos="864"/>
                <w:tab w:val="left" w:pos="1152"/>
              </w:tabs>
              <w:spacing w:before="81" w:after="81" w:line="210" w:lineRule="exact"/>
              <w:ind w:right="43"/>
              <w:jc w:val="right"/>
              <w:rPr>
                <w:b/>
                <w:sz w:val="17"/>
                <w:szCs w:val="17"/>
              </w:rPr>
            </w:pPr>
            <w:r w:rsidRPr="000E1D69">
              <w:rPr>
                <w:b/>
                <w:sz w:val="17"/>
              </w:rPr>
              <w:t>8 757,2</w:t>
            </w:r>
          </w:p>
        </w:tc>
        <w:tc>
          <w:tcPr>
            <w:tcW w:w="1035" w:type="dxa"/>
            <w:tcBorders>
              <w:top w:val="single" w:sz="4" w:space="0" w:color="auto"/>
              <w:bottom w:val="single" w:sz="12" w:space="0" w:color="auto"/>
            </w:tcBorders>
            <w:shd w:val="clear" w:color="auto" w:fill="auto"/>
            <w:vAlign w:val="bottom"/>
          </w:tcPr>
          <w:p w:rsidR="004A6ED4" w:rsidRPr="000E1D69" w:rsidRDefault="004A6ED4" w:rsidP="00EC3686">
            <w:pPr>
              <w:keepNext/>
              <w:keepLines/>
              <w:tabs>
                <w:tab w:val="left" w:pos="288"/>
                <w:tab w:val="left" w:pos="576"/>
                <w:tab w:val="left" w:pos="864"/>
                <w:tab w:val="left" w:pos="1152"/>
              </w:tabs>
              <w:spacing w:before="81" w:after="81" w:line="210" w:lineRule="exact"/>
              <w:ind w:right="43"/>
              <w:jc w:val="right"/>
              <w:rPr>
                <w:b/>
                <w:sz w:val="17"/>
                <w:szCs w:val="17"/>
              </w:rPr>
            </w:pPr>
            <w:r w:rsidRPr="000E1D69">
              <w:rPr>
                <w:b/>
                <w:sz w:val="17"/>
              </w:rPr>
              <w:t>16 673,6</w:t>
            </w:r>
          </w:p>
        </w:tc>
      </w:tr>
    </w:tbl>
    <w:p w:rsidR="00AD6904" w:rsidRPr="000E1D69" w:rsidRDefault="00AD6904" w:rsidP="00EC3686">
      <w:pPr>
        <w:pStyle w:val="SingleTxt"/>
        <w:spacing w:after="0" w:line="120" w:lineRule="exact"/>
        <w:rPr>
          <w:sz w:val="10"/>
        </w:rPr>
      </w:pPr>
    </w:p>
    <w:p w:rsidR="00EC3686" w:rsidRPr="000E1D69" w:rsidRDefault="00861408" w:rsidP="00861408">
      <w:pPr>
        <w:pStyle w:val="FootnoteText"/>
        <w:tabs>
          <w:tab w:val="clear" w:pos="418"/>
          <w:tab w:val="right" w:pos="216"/>
          <w:tab w:val="left" w:pos="288"/>
          <w:tab w:val="right" w:pos="576"/>
          <w:tab w:val="left" w:pos="648"/>
        </w:tabs>
        <w:ind w:left="288" w:hanging="288"/>
      </w:pPr>
      <w:r w:rsidRPr="000E1D69">
        <w:tab/>
      </w:r>
      <w:r w:rsidRPr="000E1D69">
        <w:rPr>
          <w:i/>
          <w:vertAlign w:val="superscript"/>
        </w:rPr>
        <w:t>a</w:t>
      </w:r>
      <w:r w:rsidRPr="000E1D69">
        <w:tab/>
        <w:t>Necesidades en cifras netas después de tener en cuenta los gastos inferiores o superiores a los previstos para 2016.</w:t>
      </w:r>
    </w:p>
    <w:p w:rsidR="00EC3686" w:rsidRPr="000E1D69" w:rsidRDefault="00EC3686" w:rsidP="00861408">
      <w:pPr>
        <w:pStyle w:val="SingleTxt"/>
        <w:spacing w:after="0" w:line="120" w:lineRule="exact"/>
        <w:rPr>
          <w:sz w:val="10"/>
        </w:rPr>
      </w:pPr>
    </w:p>
    <w:p w:rsidR="00861408" w:rsidRPr="000E1D69" w:rsidRDefault="00861408" w:rsidP="00861408">
      <w:pPr>
        <w:pStyle w:val="SingleTxt"/>
        <w:spacing w:after="0" w:line="120" w:lineRule="exact"/>
        <w:rPr>
          <w:sz w:val="10"/>
        </w:rPr>
      </w:pPr>
    </w:p>
    <w:p w:rsidR="00861408" w:rsidRPr="000E1D69" w:rsidRDefault="00861408" w:rsidP="00861408">
      <w:pPr>
        <w:pStyle w:val="SingleTxt"/>
        <w:spacing w:after="0" w:line="120" w:lineRule="exact"/>
        <w:rPr>
          <w:sz w:val="10"/>
        </w:rPr>
      </w:pPr>
    </w:p>
    <w:p w:rsidR="00053B04" w:rsidRPr="000E1D69" w:rsidRDefault="00053B04" w:rsidP="00053B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val="0"/>
        </w:rPr>
      </w:pPr>
      <w:r w:rsidRPr="000E1D69">
        <w:rPr>
          <w:b w:val="0"/>
        </w:rPr>
        <w:t>Cuadro 2</w:t>
      </w:r>
    </w:p>
    <w:p w:rsidR="00053B04" w:rsidRPr="000E1D69" w:rsidRDefault="00053B04" w:rsidP="00053B0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E1D69">
        <w:t>Resumen de recursos financieros por categoría principal de gastos</w:t>
      </w:r>
    </w:p>
    <w:p w:rsidR="00861408" w:rsidRPr="000E1D69" w:rsidRDefault="00053B04" w:rsidP="00053B04">
      <w:pPr>
        <w:rPr>
          <w:sz w:val="14"/>
          <w:szCs w:val="14"/>
        </w:rPr>
      </w:pPr>
      <w:r w:rsidRPr="000E1D69">
        <w:rPr>
          <w:sz w:val="14"/>
          <w:szCs w:val="14"/>
        </w:rPr>
        <w:t>(En miles de dólares de los Estados Unidos)</w:t>
      </w:r>
    </w:p>
    <w:p w:rsidR="00053B04" w:rsidRPr="000E1D69" w:rsidRDefault="00053B04" w:rsidP="00053B04">
      <w:pPr>
        <w:pStyle w:val="SingleTxt"/>
        <w:spacing w:after="0" w:line="120" w:lineRule="exact"/>
        <w:rPr>
          <w:sz w:val="10"/>
        </w:rPr>
      </w:pPr>
    </w:p>
    <w:p w:rsidR="00053B04" w:rsidRPr="000E1D69" w:rsidRDefault="00053B04" w:rsidP="00053B04">
      <w:pPr>
        <w:pStyle w:val="SingleTxt"/>
        <w:spacing w:after="0" w:line="120" w:lineRule="exact"/>
        <w:rPr>
          <w:sz w:val="10"/>
        </w:rPr>
      </w:pPr>
    </w:p>
    <w:tbl>
      <w:tblPr>
        <w:tblW w:w="9846" w:type="dxa"/>
        <w:tblLayout w:type="fixed"/>
        <w:tblCellMar>
          <w:left w:w="0" w:type="dxa"/>
          <w:right w:w="0" w:type="dxa"/>
        </w:tblCellMar>
        <w:tblLook w:val="0000" w:firstRow="0" w:lastRow="0" w:firstColumn="0" w:lastColumn="0" w:noHBand="0" w:noVBand="0"/>
      </w:tblPr>
      <w:tblGrid>
        <w:gridCol w:w="2097"/>
        <w:gridCol w:w="900"/>
        <w:gridCol w:w="855"/>
        <w:gridCol w:w="945"/>
        <w:gridCol w:w="927"/>
        <w:gridCol w:w="126"/>
        <w:gridCol w:w="954"/>
        <w:gridCol w:w="999"/>
        <w:gridCol w:w="1017"/>
        <w:gridCol w:w="1026"/>
      </w:tblGrid>
      <w:tr w:rsidR="000D51FE" w:rsidRPr="000E1D69" w:rsidTr="00B54BE9">
        <w:trPr>
          <w:tblHeader/>
        </w:trPr>
        <w:tc>
          <w:tcPr>
            <w:tcW w:w="2097" w:type="dxa"/>
            <w:vMerge w:val="restart"/>
            <w:tcBorders>
              <w:top w:val="single" w:sz="4" w:space="0" w:color="auto"/>
            </w:tcBorders>
            <w:shd w:val="clear" w:color="auto" w:fill="auto"/>
            <w:vAlign w:val="bottom"/>
          </w:tcPr>
          <w:p w:rsidR="000D51FE" w:rsidRPr="000E1D69" w:rsidRDefault="00171500" w:rsidP="000D51FE">
            <w:pPr>
              <w:spacing w:before="80" w:after="80" w:line="160" w:lineRule="exact"/>
              <w:ind w:right="40"/>
              <w:rPr>
                <w:i/>
                <w:kern w:val="14"/>
                <w:sz w:val="14"/>
              </w:rPr>
            </w:pPr>
            <w:r w:rsidRPr="000E1D69">
              <w:rPr>
                <w:i/>
                <w:sz w:val="14"/>
                <w:szCs w:val="14"/>
              </w:rPr>
              <w:t>Categoría</w:t>
            </w:r>
          </w:p>
        </w:tc>
        <w:tc>
          <w:tcPr>
            <w:tcW w:w="3627" w:type="dxa"/>
            <w:gridSpan w:val="4"/>
            <w:tcBorders>
              <w:top w:val="single" w:sz="4" w:space="0" w:color="auto"/>
              <w:bottom w:val="single" w:sz="4" w:space="0" w:color="auto"/>
            </w:tcBorders>
            <w:shd w:val="clear" w:color="auto" w:fill="auto"/>
            <w:vAlign w:val="bottom"/>
          </w:tcPr>
          <w:p w:rsidR="000D51FE" w:rsidRPr="000E1D69" w:rsidRDefault="000D51FE" w:rsidP="00770077">
            <w:pPr>
              <w:spacing w:before="80" w:after="80" w:line="160" w:lineRule="exact"/>
              <w:ind w:right="40"/>
              <w:jc w:val="center"/>
              <w:rPr>
                <w:i/>
                <w:iCs/>
                <w:spacing w:val="0"/>
                <w:w w:val="100"/>
                <w:kern w:val="14"/>
                <w:sz w:val="14"/>
                <w:szCs w:val="16"/>
              </w:rPr>
            </w:pPr>
            <w:r w:rsidRPr="000E1D69">
              <w:rPr>
                <w:i/>
                <w:kern w:val="14"/>
                <w:sz w:val="14"/>
              </w:rPr>
              <w:t>1 de enero a 31 de diciembre de 2016</w:t>
            </w:r>
          </w:p>
        </w:tc>
        <w:tc>
          <w:tcPr>
            <w:tcW w:w="126" w:type="dxa"/>
            <w:tcBorders>
              <w:top w:val="single" w:sz="4" w:space="0" w:color="auto"/>
            </w:tcBorders>
            <w:shd w:val="clear" w:color="auto" w:fill="auto"/>
            <w:vAlign w:val="bottom"/>
          </w:tcPr>
          <w:p w:rsidR="000D51FE" w:rsidRPr="000E1D69" w:rsidRDefault="000D51FE" w:rsidP="000D51FE">
            <w:pPr>
              <w:spacing w:before="80" w:after="80" w:line="160" w:lineRule="exact"/>
              <w:ind w:right="40"/>
              <w:jc w:val="right"/>
              <w:rPr>
                <w:i/>
                <w:kern w:val="14"/>
                <w:sz w:val="14"/>
              </w:rPr>
            </w:pPr>
          </w:p>
        </w:tc>
        <w:tc>
          <w:tcPr>
            <w:tcW w:w="3996" w:type="dxa"/>
            <w:gridSpan w:val="4"/>
            <w:tcBorders>
              <w:top w:val="single" w:sz="4" w:space="0" w:color="auto"/>
              <w:bottom w:val="single" w:sz="4" w:space="0" w:color="auto"/>
            </w:tcBorders>
            <w:shd w:val="clear" w:color="auto" w:fill="auto"/>
            <w:vAlign w:val="bottom"/>
          </w:tcPr>
          <w:p w:rsidR="000D51FE" w:rsidRPr="000E1D69" w:rsidRDefault="00770077" w:rsidP="000D51FE">
            <w:pPr>
              <w:spacing w:before="80" w:after="80" w:line="160" w:lineRule="exact"/>
              <w:ind w:right="40"/>
              <w:jc w:val="center"/>
              <w:rPr>
                <w:i/>
                <w:kern w:val="14"/>
                <w:sz w:val="14"/>
              </w:rPr>
            </w:pPr>
            <w:r w:rsidRPr="000E1D69">
              <w:rPr>
                <w:i/>
                <w:kern w:val="14"/>
                <w:sz w:val="14"/>
              </w:rPr>
              <w:t xml:space="preserve">Necesidades para el período comprendido entre </w:t>
            </w:r>
            <w:r w:rsidRPr="000E1D69">
              <w:rPr>
                <w:i/>
                <w:kern w:val="14"/>
                <w:sz w:val="14"/>
              </w:rPr>
              <w:br/>
              <w:t>el 1 de enero y el 31 de diciembre de 2017</w:t>
            </w:r>
          </w:p>
        </w:tc>
      </w:tr>
      <w:tr w:rsidR="00770077" w:rsidRPr="000E1D69" w:rsidTr="00B54BE9">
        <w:trPr>
          <w:tblHeader/>
        </w:trPr>
        <w:tc>
          <w:tcPr>
            <w:tcW w:w="2097" w:type="dxa"/>
            <w:vMerge/>
            <w:shd w:val="clear" w:color="auto" w:fill="auto"/>
            <w:vAlign w:val="bottom"/>
          </w:tcPr>
          <w:p w:rsidR="00770077" w:rsidRPr="000E1D69" w:rsidRDefault="00770077" w:rsidP="00770077">
            <w:pPr>
              <w:spacing w:before="80" w:after="80" w:line="160" w:lineRule="exact"/>
              <w:ind w:right="40"/>
              <w:rPr>
                <w:i/>
                <w:kern w:val="14"/>
                <w:sz w:val="14"/>
              </w:rPr>
            </w:pPr>
          </w:p>
        </w:tc>
        <w:tc>
          <w:tcPr>
            <w:tcW w:w="900" w:type="dxa"/>
            <w:tcBorders>
              <w:top w:val="single" w:sz="4" w:space="0" w:color="auto"/>
              <w:bottom w:val="single" w:sz="4" w:space="0" w:color="auto"/>
            </w:tcBorders>
            <w:shd w:val="clear" w:color="auto" w:fill="auto"/>
            <w:vAlign w:val="bottom"/>
          </w:tcPr>
          <w:p w:rsidR="00770077" w:rsidRPr="000E1D69" w:rsidRDefault="00770077" w:rsidP="00B54BE9">
            <w:pPr>
              <w:spacing w:before="80" w:after="80" w:line="160" w:lineRule="exact"/>
              <w:jc w:val="right"/>
              <w:rPr>
                <w:i/>
                <w:iCs/>
                <w:spacing w:val="0"/>
                <w:w w:val="100"/>
                <w:kern w:val="14"/>
                <w:sz w:val="14"/>
                <w:szCs w:val="14"/>
              </w:rPr>
            </w:pPr>
            <w:r w:rsidRPr="000E1D69">
              <w:rPr>
                <w:i/>
                <w:kern w:val="14"/>
                <w:sz w:val="14"/>
              </w:rPr>
              <w:t>Consignación</w:t>
            </w:r>
          </w:p>
        </w:tc>
        <w:tc>
          <w:tcPr>
            <w:tcW w:w="855" w:type="dxa"/>
            <w:tcBorders>
              <w:top w:val="single" w:sz="4" w:space="0" w:color="auto"/>
              <w:bottom w:val="single" w:sz="4" w:space="0" w:color="auto"/>
            </w:tcBorders>
            <w:shd w:val="clear" w:color="auto" w:fill="auto"/>
            <w:vAlign w:val="bottom"/>
          </w:tcPr>
          <w:p w:rsidR="00770077" w:rsidRPr="000E1D69" w:rsidRDefault="00770077" w:rsidP="00770077">
            <w:pPr>
              <w:spacing w:before="80" w:after="80" w:line="160" w:lineRule="exact"/>
              <w:ind w:right="40"/>
              <w:jc w:val="right"/>
              <w:rPr>
                <w:i/>
                <w:iCs/>
                <w:spacing w:val="0"/>
                <w:w w:val="100"/>
                <w:kern w:val="14"/>
                <w:sz w:val="14"/>
                <w:szCs w:val="14"/>
              </w:rPr>
            </w:pPr>
            <w:r w:rsidRPr="000E1D69">
              <w:rPr>
                <w:i/>
                <w:kern w:val="14"/>
                <w:sz w:val="14"/>
              </w:rPr>
              <w:t>Gastos estimados</w:t>
            </w:r>
          </w:p>
        </w:tc>
        <w:tc>
          <w:tcPr>
            <w:tcW w:w="945" w:type="dxa"/>
            <w:tcBorders>
              <w:top w:val="single" w:sz="4" w:space="0" w:color="auto"/>
              <w:bottom w:val="single" w:sz="4" w:space="0" w:color="auto"/>
            </w:tcBorders>
            <w:shd w:val="clear" w:color="auto" w:fill="auto"/>
            <w:vAlign w:val="bottom"/>
          </w:tcPr>
          <w:p w:rsidR="00770077" w:rsidRPr="000E1D69" w:rsidRDefault="00770077" w:rsidP="00770077">
            <w:pPr>
              <w:spacing w:before="80" w:after="80" w:line="160" w:lineRule="exact"/>
              <w:ind w:right="40"/>
              <w:jc w:val="right"/>
              <w:rPr>
                <w:i/>
                <w:iCs/>
                <w:spacing w:val="0"/>
                <w:w w:val="100"/>
                <w:kern w:val="14"/>
                <w:sz w:val="14"/>
                <w:szCs w:val="14"/>
              </w:rPr>
            </w:pPr>
            <w:r w:rsidRPr="000E1D69">
              <w:rPr>
                <w:i/>
                <w:kern w:val="14"/>
                <w:sz w:val="14"/>
              </w:rPr>
              <w:t>Diferencia</w:t>
            </w:r>
          </w:p>
        </w:tc>
        <w:tc>
          <w:tcPr>
            <w:tcW w:w="927" w:type="dxa"/>
            <w:tcBorders>
              <w:top w:val="single" w:sz="4" w:space="0" w:color="auto"/>
              <w:bottom w:val="single" w:sz="4" w:space="0" w:color="auto"/>
            </w:tcBorders>
            <w:shd w:val="clear" w:color="auto" w:fill="auto"/>
            <w:vAlign w:val="bottom"/>
          </w:tcPr>
          <w:p w:rsidR="00770077" w:rsidRPr="000E1D69" w:rsidRDefault="00770077" w:rsidP="00770077">
            <w:pPr>
              <w:spacing w:before="80" w:after="80" w:line="160" w:lineRule="exact"/>
              <w:ind w:right="40"/>
              <w:jc w:val="right"/>
              <w:rPr>
                <w:i/>
                <w:iCs/>
                <w:spacing w:val="0"/>
                <w:w w:val="100"/>
                <w:kern w:val="14"/>
                <w:sz w:val="14"/>
                <w:szCs w:val="14"/>
              </w:rPr>
            </w:pPr>
            <w:r w:rsidRPr="000E1D69">
              <w:rPr>
                <w:i/>
                <w:kern w:val="14"/>
                <w:sz w:val="14"/>
              </w:rPr>
              <w:t>Consignación para 2016</w:t>
            </w:r>
          </w:p>
        </w:tc>
        <w:tc>
          <w:tcPr>
            <w:tcW w:w="126" w:type="dxa"/>
            <w:shd w:val="clear" w:color="auto" w:fill="auto"/>
            <w:vAlign w:val="bottom"/>
          </w:tcPr>
          <w:p w:rsidR="00770077" w:rsidRPr="000E1D69" w:rsidRDefault="00770077" w:rsidP="00770077">
            <w:pPr>
              <w:spacing w:before="80" w:after="80" w:line="160" w:lineRule="exact"/>
              <w:ind w:right="40"/>
              <w:jc w:val="right"/>
              <w:rPr>
                <w:i/>
                <w:kern w:val="14"/>
                <w:sz w:val="14"/>
              </w:rPr>
            </w:pPr>
          </w:p>
        </w:tc>
        <w:tc>
          <w:tcPr>
            <w:tcW w:w="954" w:type="dxa"/>
            <w:tcBorders>
              <w:bottom w:val="single" w:sz="4" w:space="0" w:color="auto"/>
            </w:tcBorders>
            <w:shd w:val="clear" w:color="auto" w:fill="auto"/>
            <w:vAlign w:val="bottom"/>
          </w:tcPr>
          <w:p w:rsidR="00770077" w:rsidRPr="000E1D69" w:rsidRDefault="00770077" w:rsidP="00770077">
            <w:pPr>
              <w:spacing w:before="80" w:after="80" w:line="160" w:lineRule="exact"/>
              <w:ind w:right="40"/>
              <w:jc w:val="right"/>
              <w:rPr>
                <w:i/>
                <w:iCs/>
                <w:spacing w:val="0"/>
                <w:w w:val="100"/>
                <w:kern w:val="14"/>
                <w:sz w:val="14"/>
                <w:szCs w:val="14"/>
              </w:rPr>
            </w:pPr>
            <w:r w:rsidRPr="000E1D69">
              <w:rPr>
                <w:i/>
                <w:kern w:val="14"/>
                <w:sz w:val="14"/>
              </w:rPr>
              <w:t>Total de necesidades</w:t>
            </w:r>
          </w:p>
        </w:tc>
        <w:tc>
          <w:tcPr>
            <w:tcW w:w="999" w:type="dxa"/>
            <w:tcBorders>
              <w:bottom w:val="single" w:sz="4" w:space="0" w:color="auto"/>
            </w:tcBorders>
            <w:shd w:val="clear" w:color="auto" w:fill="auto"/>
            <w:vAlign w:val="bottom"/>
          </w:tcPr>
          <w:p w:rsidR="00770077" w:rsidRPr="000E1D69" w:rsidRDefault="00770077" w:rsidP="00770077">
            <w:pPr>
              <w:spacing w:before="80" w:after="80" w:line="160" w:lineRule="exact"/>
              <w:ind w:right="40"/>
              <w:jc w:val="right"/>
              <w:rPr>
                <w:i/>
                <w:iCs/>
                <w:spacing w:val="0"/>
                <w:w w:val="100"/>
                <w:kern w:val="14"/>
                <w:sz w:val="14"/>
                <w:szCs w:val="14"/>
              </w:rPr>
            </w:pPr>
            <w:r w:rsidRPr="000E1D69">
              <w:rPr>
                <w:i/>
                <w:kern w:val="14"/>
                <w:sz w:val="14"/>
              </w:rPr>
              <w:t xml:space="preserve">Necesidades </w:t>
            </w:r>
            <w:r w:rsidRPr="000E1D69">
              <w:rPr>
                <w:i/>
                <w:kern w:val="14"/>
                <w:sz w:val="14"/>
              </w:rPr>
              <w:br/>
              <w:t>no periódicas</w:t>
            </w:r>
          </w:p>
        </w:tc>
        <w:tc>
          <w:tcPr>
            <w:tcW w:w="1017" w:type="dxa"/>
            <w:tcBorders>
              <w:bottom w:val="single" w:sz="4" w:space="0" w:color="auto"/>
            </w:tcBorders>
            <w:shd w:val="clear" w:color="auto" w:fill="auto"/>
            <w:vAlign w:val="bottom"/>
          </w:tcPr>
          <w:p w:rsidR="00770077" w:rsidRPr="000E1D69" w:rsidRDefault="00770077" w:rsidP="00770077">
            <w:pPr>
              <w:spacing w:before="80" w:after="80" w:line="160" w:lineRule="exact"/>
              <w:ind w:right="40"/>
              <w:jc w:val="right"/>
              <w:rPr>
                <w:i/>
                <w:iCs/>
                <w:spacing w:val="0"/>
                <w:w w:val="100"/>
                <w:kern w:val="14"/>
                <w:sz w:val="14"/>
                <w:szCs w:val="14"/>
              </w:rPr>
            </w:pPr>
            <w:r w:rsidRPr="000E1D69">
              <w:rPr>
                <w:i/>
                <w:kern w:val="14"/>
                <w:sz w:val="14"/>
              </w:rPr>
              <w:t>Diferencia (2017-2016)</w:t>
            </w:r>
          </w:p>
        </w:tc>
        <w:tc>
          <w:tcPr>
            <w:tcW w:w="1026" w:type="dxa"/>
            <w:tcBorders>
              <w:bottom w:val="single" w:sz="4" w:space="0" w:color="auto"/>
            </w:tcBorders>
            <w:shd w:val="clear" w:color="auto" w:fill="auto"/>
            <w:vAlign w:val="bottom"/>
          </w:tcPr>
          <w:p w:rsidR="00770077" w:rsidRPr="000E1D69" w:rsidRDefault="00770077" w:rsidP="00770077">
            <w:pPr>
              <w:spacing w:before="80" w:after="80" w:line="160" w:lineRule="exact"/>
              <w:ind w:right="40"/>
              <w:jc w:val="right"/>
              <w:rPr>
                <w:i/>
                <w:iCs/>
                <w:spacing w:val="0"/>
                <w:w w:val="100"/>
                <w:kern w:val="14"/>
                <w:sz w:val="14"/>
                <w:szCs w:val="14"/>
              </w:rPr>
            </w:pPr>
            <w:r w:rsidRPr="000E1D69">
              <w:rPr>
                <w:i/>
                <w:kern w:val="14"/>
                <w:sz w:val="14"/>
              </w:rPr>
              <w:t xml:space="preserve">Necesidades </w:t>
            </w:r>
            <w:r w:rsidRPr="000E1D69">
              <w:rPr>
                <w:i/>
                <w:kern w:val="14"/>
                <w:sz w:val="14"/>
              </w:rPr>
              <w:br/>
              <w:t>en cifras netas para 2017</w:t>
            </w:r>
            <w:r w:rsidRPr="000E1D69">
              <w:rPr>
                <w:i/>
                <w:kern w:val="14"/>
                <w:sz w:val="14"/>
                <w:vertAlign w:val="superscript"/>
              </w:rPr>
              <w:t>a</w:t>
            </w:r>
          </w:p>
        </w:tc>
      </w:tr>
      <w:tr w:rsidR="00770077" w:rsidRPr="000E1D69" w:rsidTr="00B54BE9">
        <w:trPr>
          <w:tblHeader/>
        </w:trPr>
        <w:tc>
          <w:tcPr>
            <w:tcW w:w="2097" w:type="dxa"/>
            <w:vMerge/>
            <w:tcBorders>
              <w:bottom w:val="single" w:sz="12" w:space="0" w:color="auto"/>
            </w:tcBorders>
            <w:shd w:val="clear" w:color="auto" w:fill="auto"/>
            <w:vAlign w:val="bottom"/>
          </w:tcPr>
          <w:p w:rsidR="00770077" w:rsidRPr="000E1D69" w:rsidRDefault="00770077" w:rsidP="00770077">
            <w:pPr>
              <w:spacing w:before="80" w:after="80" w:line="160" w:lineRule="exact"/>
              <w:ind w:right="40"/>
              <w:rPr>
                <w:i/>
                <w:kern w:val="14"/>
                <w:sz w:val="14"/>
              </w:rPr>
            </w:pPr>
          </w:p>
        </w:tc>
        <w:tc>
          <w:tcPr>
            <w:tcW w:w="900" w:type="dxa"/>
            <w:tcBorders>
              <w:top w:val="single" w:sz="4" w:space="0" w:color="auto"/>
              <w:bottom w:val="single" w:sz="12" w:space="0" w:color="auto"/>
            </w:tcBorders>
            <w:shd w:val="clear" w:color="auto" w:fill="auto"/>
            <w:vAlign w:val="bottom"/>
          </w:tcPr>
          <w:p w:rsidR="00770077" w:rsidRPr="000E1D69" w:rsidRDefault="00770077" w:rsidP="00770077">
            <w:pPr>
              <w:spacing w:before="80" w:after="80" w:line="160" w:lineRule="exact"/>
              <w:ind w:right="40"/>
              <w:jc w:val="right"/>
              <w:rPr>
                <w:i/>
                <w:iCs/>
                <w:kern w:val="14"/>
                <w:sz w:val="14"/>
                <w:szCs w:val="14"/>
              </w:rPr>
            </w:pPr>
            <w:r w:rsidRPr="000E1D69">
              <w:rPr>
                <w:i/>
                <w:iCs/>
                <w:kern w:val="14"/>
                <w:sz w:val="14"/>
                <w:szCs w:val="14"/>
              </w:rPr>
              <w:t>(1)</w:t>
            </w:r>
          </w:p>
        </w:tc>
        <w:tc>
          <w:tcPr>
            <w:tcW w:w="855" w:type="dxa"/>
            <w:tcBorders>
              <w:top w:val="single" w:sz="4" w:space="0" w:color="auto"/>
              <w:bottom w:val="single" w:sz="12" w:space="0" w:color="auto"/>
            </w:tcBorders>
            <w:shd w:val="clear" w:color="auto" w:fill="auto"/>
            <w:vAlign w:val="bottom"/>
          </w:tcPr>
          <w:p w:rsidR="00770077" w:rsidRPr="000E1D69" w:rsidRDefault="00770077" w:rsidP="00770077">
            <w:pPr>
              <w:spacing w:before="80" w:after="80" w:line="160" w:lineRule="exact"/>
              <w:ind w:right="40"/>
              <w:jc w:val="right"/>
              <w:rPr>
                <w:i/>
                <w:iCs/>
                <w:kern w:val="14"/>
                <w:sz w:val="14"/>
                <w:szCs w:val="14"/>
              </w:rPr>
            </w:pPr>
            <w:r w:rsidRPr="000E1D69">
              <w:rPr>
                <w:i/>
                <w:iCs/>
                <w:kern w:val="14"/>
                <w:sz w:val="14"/>
                <w:szCs w:val="14"/>
              </w:rPr>
              <w:t>(2)</w:t>
            </w:r>
          </w:p>
        </w:tc>
        <w:tc>
          <w:tcPr>
            <w:tcW w:w="945" w:type="dxa"/>
            <w:tcBorders>
              <w:top w:val="single" w:sz="4" w:space="0" w:color="auto"/>
              <w:bottom w:val="single" w:sz="12" w:space="0" w:color="auto"/>
            </w:tcBorders>
            <w:shd w:val="clear" w:color="auto" w:fill="auto"/>
            <w:vAlign w:val="bottom"/>
          </w:tcPr>
          <w:p w:rsidR="00770077" w:rsidRPr="000E1D69" w:rsidRDefault="00770077" w:rsidP="00770077">
            <w:pPr>
              <w:spacing w:before="80" w:after="80" w:line="160" w:lineRule="exact"/>
              <w:ind w:right="40"/>
              <w:jc w:val="right"/>
              <w:rPr>
                <w:i/>
                <w:iCs/>
                <w:kern w:val="14"/>
                <w:sz w:val="14"/>
                <w:szCs w:val="14"/>
              </w:rPr>
            </w:pPr>
            <w:r w:rsidRPr="000E1D69">
              <w:rPr>
                <w:i/>
                <w:iCs/>
                <w:kern w:val="14"/>
                <w:sz w:val="14"/>
                <w:szCs w:val="14"/>
              </w:rPr>
              <w:t>(3)=(1)–(2)</w:t>
            </w:r>
          </w:p>
        </w:tc>
        <w:tc>
          <w:tcPr>
            <w:tcW w:w="927" w:type="dxa"/>
            <w:tcBorders>
              <w:top w:val="single" w:sz="4" w:space="0" w:color="auto"/>
              <w:bottom w:val="single" w:sz="12" w:space="0" w:color="auto"/>
            </w:tcBorders>
            <w:shd w:val="clear" w:color="auto" w:fill="auto"/>
            <w:vAlign w:val="bottom"/>
          </w:tcPr>
          <w:p w:rsidR="00770077" w:rsidRPr="000E1D69" w:rsidRDefault="00770077" w:rsidP="00770077">
            <w:pPr>
              <w:spacing w:before="80" w:after="80" w:line="160" w:lineRule="exact"/>
              <w:ind w:right="40"/>
              <w:jc w:val="right"/>
              <w:rPr>
                <w:i/>
                <w:iCs/>
                <w:kern w:val="14"/>
                <w:sz w:val="14"/>
                <w:szCs w:val="14"/>
              </w:rPr>
            </w:pPr>
            <w:r w:rsidRPr="000E1D69">
              <w:rPr>
                <w:i/>
                <w:iCs/>
                <w:kern w:val="14"/>
                <w:sz w:val="14"/>
                <w:szCs w:val="14"/>
              </w:rPr>
              <w:t>(4)=(1)</w:t>
            </w:r>
          </w:p>
        </w:tc>
        <w:tc>
          <w:tcPr>
            <w:tcW w:w="126" w:type="dxa"/>
            <w:tcBorders>
              <w:bottom w:val="single" w:sz="12" w:space="0" w:color="auto"/>
            </w:tcBorders>
            <w:shd w:val="clear" w:color="auto" w:fill="auto"/>
            <w:vAlign w:val="bottom"/>
          </w:tcPr>
          <w:p w:rsidR="00770077" w:rsidRPr="000E1D69" w:rsidRDefault="00770077" w:rsidP="00770077">
            <w:pPr>
              <w:spacing w:before="80" w:after="80" w:line="160" w:lineRule="exact"/>
              <w:ind w:right="40"/>
              <w:jc w:val="right"/>
              <w:rPr>
                <w:i/>
                <w:kern w:val="14"/>
                <w:sz w:val="14"/>
              </w:rPr>
            </w:pPr>
          </w:p>
        </w:tc>
        <w:tc>
          <w:tcPr>
            <w:tcW w:w="954" w:type="dxa"/>
            <w:tcBorders>
              <w:top w:val="single" w:sz="4" w:space="0" w:color="auto"/>
              <w:bottom w:val="single" w:sz="12" w:space="0" w:color="auto"/>
            </w:tcBorders>
            <w:shd w:val="clear" w:color="auto" w:fill="auto"/>
            <w:vAlign w:val="bottom"/>
          </w:tcPr>
          <w:p w:rsidR="00770077" w:rsidRPr="000E1D69" w:rsidRDefault="00770077" w:rsidP="00770077">
            <w:pPr>
              <w:spacing w:before="80" w:after="80" w:line="160" w:lineRule="exact"/>
              <w:ind w:right="40"/>
              <w:jc w:val="right"/>
              <w:rPr>
                <w:i/>
                <w:iCs/>
                <w:kern w:val="14"/>
                <w:sz w:val="14"/>
                <w:szCs w:val="14"/>
              </w:rPr>
            </w:pPr>
            <w:r w:rsidRPr="000E1D69">
              <w:rPr>
                <w:i/>
                <w:iCs/>
                <w:kern w:val="14"/>
                <w:sz w:val="14"/>
                <w:szCs w:val="14"/>
              </w:rPr>
              <w:t>(5)</w:t>
            </w:r>
          </w:p>
        </w:tc>
        <w:tc>
          <w:tcPr>
            <w:tcW w:w="999" w:type="dxa"/>
            <w:tcBorders>
              <w:top w:val="single" w:sz="4" w:space="0" w:color="auto"/>
              <w:bottom w:val="single" w:sz="12" w:space="0" w:color="auto"/>
            </w:tcBorders>
            <w:shd w:val="clear" w:color="auto" w:fill="auto"/>
            <w:vAlign w:val="bottom"/>
          </w:tcPr>
          <w:p w:rsidR="00770077" w:rsidRPr="000E1D69" w:rsidRDefault="00770077" w:rsidP="00770077">
            <w:pPr>
              <w:spacing w:before="80" w:after="80" w:line="160" w:lineRule="exact"/>
              <w:ind w:right="40"/>
              <w:jc w:val="right"/>
              <w:rPr>
                <w:i/>
                <w:iCs/>
                <w:kern w:val="14"/>
                <w:sz w:val="14"/>
                <w:szCs w:val="14"/>
              </w:rPr>
            </w:pPr>
            <w:r w:rsidRPr="000E1D69">
              <w:rPr>
                <w:i/>
                <w:iCs/>
                <w:kern w:val="14"/>
                <w:sz w:val="14"/>
                <w:szCs w:val="14"/>
              </w:rPr>
              <w:t xml:space="preserve">(6) </w:t>
            </w:r>
          </w:p>
        </w:tc>
        <w:tc>
          <w:tcPr>
            <w:tcW w:w="1017" w:type="dxa"/>
            <w:tcBorders>
              <w:top w:val="single" w:sz="4" w:space="0" w:color="auto"/>
              <w:bottom w:val="single" w:sz="12" w:space="0" w:color="auto"/>
            </w:tcBorders>
            <w:shd w:val="clear" w:color="auto" w:fill="auto"/>
            <w:vAlign w:val="bottom"/>
          </w:tcPr>
          <w:p w:rsidR="00770077" w:rsidRPr="000E1D69" w:rsidRDefault="00770077" w:rsidP="00770077">
            <w:pPr>
              <w:spacing w:before="80" w:after="80" w:line="160" w:lineRule="exact"/>
              <w:ind w:right="40"/>
              <w:jc w:val="right"/>
              <w:rPr>
                <w:i/>
                <w:iCs/>
                <w:kern w:val="14"/>
                <w:sz w:val="14"/>
                <w:szCs w:val="14"/>
              </w:rPr>
            </w:pPr>
            <w:r w:rsidRPr="000E1D69">
              <w:rPr>
                <w:i/>
                <w:iCs/>
                <w:kern w:val="14"/>
                <w:sz w:val="14"/>
                <w:szCs w:val="14"/>
              </w:rPr>
              <w:t>(7)=(5)–(4)</w:t>
            </w:r>
          </w:p>
        </w:tc>
        <w:tc>
          <w:tcPr>
            <w:tcW w:w="1026" w:type="dxa"/>
            <w:tcBorders>
              <w:top w:val="single" w:sz="4" w:space="0" w:color="auto"/>
              <w:bottom w:val="single" w:sz="12" w:space="0" w:color="auto"/>
            </w:tcBorders>
            <w:shd w:val="clear" w:color="auto" w:fill="auto"/>
            <w:vAlign w:val="bottom"/>
          </w:tcPr>
          <w:p w:rsidR="00770077" w:rsidRPr="000E1D69" w:rsidRDefault="00770077" w:rsidP="00770077">
            <w:pPr>
              <w:spacing w:before="80" w:after="80" w:line="160" w:lineRule="exact"/>
              <w:ind w:right="40"/>
              <w:jc w:val="right"/>
              <w:rPr>
                <w:i/>
                <w:iCs/>
                <w:kern w:val="14"/>
                <w:sz w:val="14"/>
                <w:szCs w:val="14"/>
              </w:rPr>
            </w:pPr>
            <w:r w:rsidRPr="000E1D69">
              <w:rPr>
                <w:i/>
                <w:iCs/>
                <w:kern w:val="14"/>
                <w:sz w:val="14"/>
                <w:szCs w:val="14"/>
              </w:rPr>
              <w:t>(8)=(5)–(3)</w:t>
            </w:r>
          </w:p>
        </w:tc>
      </w:tr>
      <w:tr w:rsidR="00B54BE9" w:rsidRPr="000E1D69" w:rsidTr="00B54BE9">
        <w:trPr>
          <w:trHeight w:hRule="exact" w:val="115"/>
          <w:tblHeader/>
        </w:trPr>
        <w:tc>
          <w:tcPr>
            <w:tcW w:w="2097" w:type="dxa"/>
            <w:tcBorders>
              <w:top w:val="single" w:sz="12" w:space="0" w:color="auto"/>
            </w:tcBorders>
            <w:shd w:val="clear" w:color="auto" w:fill="auto"/>
            <w:vAlign w:val="bottom"/>
          </w:tcPr>
          <w:p w:rsidR="00770077" w:rsidRPr="000E1D69" w:rsidRDefault="00770077" w:rsidP="00770077">
            <w:pPr>
              <w:spacing w:before="40" w:after="40" w:line="210" w:lineRule="exact"/>
              <w:ind w:right="40"/>
              <w:rPr>
                <w:kern w:val="14"/>
                <w:sz w:val="17"/>
              </w:rPr>
            </w:pPr>
          </w:p>
        </w:tc>
        <w:tc>
          <w:tcPr>
            <w:tcW w:w="900" w:type="dxa"/>
            <w:tcBorders>
              <w:top w:val="single" w:sz="12" w:space="0" w:color="auto"/>
            </w:tcBorders>
            <w:shd w:val="clear" w:color="auto" w:fill="auto"/>
            <w:vAlign w:val="bottom"/>
          </w:tcPr>
          <w:p w:rsidR="00770077" w:rsidRPr="000E1D69" w:rsidRDefault="00770077" w:rsidP="00770077">
            <w:pPr>
              <w:spacing w:before="40" w:after="40" w:line="210" w:lineRule="exact"/>
              <w:ind w:right="40"/>
              <w:jc w:val="right"/>
              <w:rPr>
                <w:kern w:val="14"/>
                <w:sz w:val="17"/>
              </w:rPr>
            </w:pPr>
          </w:p>
        </w:tc>
        <w:tc>
          <w:tcPr>
            <w:tcW w:w="855" w:type="dxa"/>
            <w:tcBorders>
              <w:top w:val="single" w:sz="12" w:space="0" w:color="auto"/>
            </w:tcBorders>
            <w:shd w:val="clear" w:color="auto" w:fill="auto"/>
            <w:vAlign w:val="bottom"/>
          </w:tcPr>
          <w:p w:rsidR="00770077" w:rsidRPr="000E1D69" w:rsidRDefault="00770077" w:rsidP="00770077">
            <w:pPr>
              <w:spacing w:before="40" w:after="40" w:line="210" w:lineRule="exact"/>
              <w:ind w:right="40"/>
              <w:jc w:val="right"/>
              <w:rPr>
                <w:kern w:val="14"/>
                <w:sz w:val="17"/>
              </w:rPr>
            </w:pPr>
          </w:p>
        </w:tc>
        <w:tc>
          <w:tcPr>
            <w:tcW w:w="945" w:type="dxa"/>
            <w:tcBorders>
              <w:top w:val="single" w:sz="12" w:space="0" w:color="auto"/>
            </w:tcBorders>
            <w:shd w:val="clear" w:color="auto" w:fill="auto"/>
            <w:vAlign w:val="bottom"/>
          </w:tcPr>
          <w:p w:rsidR="00770077" w:rsidRPr="000E1D69" w:rsidRDefault="00770077" w:rsidP="00770077">
            <w:pPr>
              <w:spacing w:before="40" w:after="40" w:line="210" w:lineRule="exact"/>
              <w:ind w:right="40"/>
              <w:jc w:val="right"/>
              <w:rPr>
                <w:kern w:val="14"/>
                <w:sz w:val="17"/>
              </w:rPr>
            </w:pPr>
          </w:p>
        </w:tc>
        <w:tc>
          <w:tcPr>
            <w:tcW w:w="927" w:type="dxa"/>
            <w:tcBorders>
              <w:top w:val="single" w:sz="12" w:space="0" w:color="auto"/>
            </w:tcBorders>
            <w:shd w:val="clear" w:color="auto" w:fill="auto"/>
            <w:vAlign w:val="bottom"/>
          </w:tcPr>
          <w:p w:rsidR="00770077" w:rsidRPr="000E1D69" w:rsidRDefault="00770077" w:rsidP="00770077">
            <w:pPr>
              <w:spacing w:before="40" w:after="40" w:line="210" w:lineRule="exact"/>
              <w:ind w:right="40"/>
              <w:jc w:val="right"/>
              <w:rPr>
                <w:kern w:val="14"/>
                <w:sz w:val="17"/>
              </w:rPr>
            </w:pPr>
          </w:p>
        </w:tc>
        <w:tc>
          <w:tcPr>
            <w:tcW w:w="1080" w:type="dxa"/>
            <w:gridSpan w:val="2"/>
            <w:tcBorders>
              <w:top w:val="single" w:sz="12" w:space="0" w:color="auto"/>
            </w:tcBorders>
            <w:shd w:val="clear" w:color="auto" w:fill="auto"/>
            <w:vAlign w:val="bottom"/>
          </w:tcPr>
          <w:p w:rsidR="00770077" w:rsidRPr="000E1D69" w:rsidRDefault="00770077" w:rsidP="00770077">
            <w:pPr>
              <w:spacing w:before="40" w:after="40" w:line="210" w:lineRule="exact"/>
              <w:ind w:right="40"/>
              <w:jc w:val="right"/>
              <w:rPr>
                <w:kern w:val="14"/>
                <w:sz w:val="17"/>
              </w:rPr>
            </w:pPr>
          </w:p>
        </w:tc>
        <w:tc>
          <w:tcPr>
            <w:tcW w:w="999" w:type="dxa"/>
            <w:tcBorders>
              <w:top w:val="single" w:sz="12" w:space="0" w:color="auto"/>
            </w:tcBorders>
            <w:shd w:val="clear" w:color="auto" w:fill="auto"/>
            <w:vAlign w:val="bottom"/>
          </w:tcPr>
          <w:p w:rsidR="00770077" w:rsidRPr="000E1D69" w:rsidRDefault="00770077" w:rsidP="00770077">
            <w:pPr>
              <w:spacing w:before="40" w:after="40" w:line="210" w:lineRule="exact"/>
              <w:ind w:right="40"/>
              <w:jc w:val="right"/>
              <w:rPr>
                <w:kern w:val="14"/>
                <w:sz w:val="17"/>
              </w:rPr>
            </w:pPr>
          </w:p>
        </w:tc>
        <w:tc>
          <w:tcPr>
            <w:tcW w:w="1017" w:type="dxa"/>
            <w:tcBorders>
              <w:top w:val="single" w:sz="12" w:space="0" w:color="auto"/>
            </w:tcBorders>
            <w:shd w:val="clear" w:color="auto" w:fill="auto"/>
            <w:vAlign w:val="bottom"/>
          </w:tcPr>
          <w:p w:rsidR="00770077" w:rsidRPr="000E1D69" w:rsidRDefault="00770077" w:rsidP="00770077">
            <w:pPr>
              <w:spacing w:before="40" w:after="40" w:line="210" w:lineRule="exact"/>
              <w:ind w:right="40"/>
              <w:jc w:val="right"/>
              <w:rPr>
                <w:kern w:val="14"/>
                <w:sz w:val="17"/>
              </w:rPr>
            </w:pPr>
          </w:p>
        </w:tc>
        <w:tc>
          <w:tcPr>
            <w:tcW w:w="1026" w:type="dxa"/>
            <w:tcBorders>
              <w:top w:val="single" w:sz="12" w:space="0" w:color="auto"/>
            </w:tcBorders>
            <w:shd w:val="clear" w:color="auto" w:fill="auto"/>
            <w:vAlign w:val="bottom"/>
          </w:tcPr>
          <w:p w:rsidR="00770077" w:rsidRPr="000E1D69" w:rsidRDefault="00770077" w:rsidP="00770077">
            <w:pPr>
              <w:spacing w:before="40" w:after="40" w:line="210" w:lineRule="exact"/>
              <w:ind w:right="40"/>
              <w:jc w:val="right"/>
              <w:rPr>
                <w:kern w:val="14"/>
                <w:sz w:val="17"/>
              </w:rPr>
            </w:pPr>
          </w:p>
        </w:tc>
      </w:tr>
      <w:tr w:rsidR="00770077" w:rsidRPr="000E1D69" w:rsidTr="00B54BE9">
        <w:tc>
          <w:tcPr>
            <w:tcW w:w="2097" w:type="dxa"/>
            <w:shd w:val="clear" w:color="auto" w:fill="auto"/>
            <w:vAlign w:val="bottom"/>
          </w:tcPr>
          <w:p w:rsidR="00770077" w:rsidRPr="000E1D69" w:rsidRDefault="00770077" w:rsidP="00770077">
            <w:pPr>
              <w:tabs>
                <w:tab w:val="left" w:pos="288"/>
                <w:tab w:val="left" w:pos="576"/>
                <w:tab w:val="left" w:pos="864"/>
                <w:tab w:val="left" w:pos="1152"/>
              </w:tabs>
              <w:spacing w:before="40" w:after="40" w:line="210" w:lineRule="exact"/>
              <w:ind w:right="40"/>
              <w:rPr>
                <w:b/>
                <w:kern w:val="14"/>
                <w:sz w:val="17"/>
              </w:rPr>
            </w:pPr>
            <w:r w:rsidRPr="000E1D69">
              <w:rPr>
                <w:b/>
                <w:kern w:val="14"/>
                <w:sz w:val="17"/>
              </w:rPr>
              <w:t>I.</w:t>
            </w:r>
            <w:r w:rsidRPr="000E1D69">
              <w:rPr>
                <w:b/>
                <w:kern w:val="14"/>
                <w:sz w:val="17"/>
              </w:rPr>
              <w:tab/>
              <w:t>Personal civil</w:t>
            </w:r>
          </w:p>
        </w:tc>
        <w:tc>
          <w:tcPr>
            <w:tcW w:w="900" w:type="dxa"/>
            <w:shd w:val="clear" w:color="auto" w:fill="auto"/>
            <w:vAlign w:val="bottom"/>
          </w:tcPr>
          <w:p w:rsidR="00770077" w:rsidRPr="000E1D69" w:rsidRDefault="00770077" w:rsidP="00770077">
            <w:pPr>
              <w:tabs>
                <w:tab w:val="left" w:pos="288"/>
                <w:tab w:val="left" w:pos="576"/>
                <w:tab w:val="left" w:pos="864"/>
                <w:tab w:val="left" w:pos="1152"/>
              </w:tabs>
              <w:spacing w:before="40" w:after="40" w:line="210" w:lineRule="exact"/>
              <w:ind w:right="40"/>
              <w:jc w:val="right"/>
              <w:rPr>
                <w:kern w:val="14"/>
                <w:sz w:val="17"/>
              </w:rPr>
            </w:pPr>
          </w:p>
        </w:tc>
        <w:tc>
          <w:tcPr>
            <w:tcW w:w="855" w:type="dxa"/>
            <w:shd w:val="clear" w:color="auto" w:fill="auto"/>
            <w:vAlign w:val="bottom"/>
          </w:tcPr>
          <w:p w:rsidR="00770077" w:rsidRPr="000E1D69" w:rsidRDefault="00770077" w:rsidP="00770077">
            <w:pPr>
              <w:tabs>
                <w:tab w:val="left" w:pos="288"/>
                <w:tab w:val="left" w:pos="576"/>
                <w:tab w:val="left" w:pos="864"/>
                <w:tab w:val="left" w:pos="1152"/>
              </w:tabs>
              <w:spacing w:before="40" w:after="40" w:line="210" w:lineRule="exact"/>
              <w:ind w:right="40"/>
              <w:jc w:val="right"/>
              <w:rPr>
                <w:kern w:val="14"/>
                <w:sz w:val="17"/>
              </w:rPr>
            </w:pPr>
          </w:p>
        </w:tc>
        <w:tc>
          <w:tcPr>
            <w:tcW w:w="945" w:type="dxa"/>
            <w:shd w:val="clear" w:color="auto" w:fill="auto"/>
            <w:vAlign w:val="bottom"/>
          </w:tcPr>
          <w:p w:rsidR="00770077" w:rsidRPr="000E1D69" w:rsidRDefault="00770077" w:rsidP="0069186D">
            <w:pPr>
              <w:tabs>
                <w:tab w:val="decimal" w:pos="711"/>
              </w:tabs>
              <w:spacing w:before="40" w:after="40" w:line="210" w:lineRule="exact"/>
              <w:ind w:right="40"/>
              <w:rPr>
                <w:kern w:val="14"/>
                <w:sz w:val="17"/>
              </w:rPr>
            </w:pPr>
          </w:p>
        </w:tc>
        <w:tc>
          <w:tcPr>
            <w:tcW w:w="927" w:type="dxa"/>
            <w:shd w:val="clear" w:color="auto" w:fill="auto"/>
            <w:vAlign w:val="bottom"/>
          </w:tcPr>
          <w:p w:rsidR="00770077" w:rsidRPr="000E1D69" w:rsidRDefault="00770077" w:rsidP="0069186D">
            <w:pPr>
              <w:tabs>
                <w:tab w:val="decimal" w:pos="702"/>
              </w:tabs>
              <w:spacing w:before="40" w:after="40" w:line="210" w:lineRule="exact"/>
              <w:ind w:right="40"/>
              <w:rPr>
                <w:kern w:val="14"/>
                <w:sz w:val="17"/>
              </w:rPr>
            </w:pPr>
          </w:p>
        </w:tc>
        <w:tc>
          <w:tcPr>
            <w:tcW w:w="1080" w:type="dxa"/>
            <w:gridSpan w:val="2"/>
            <w:shd w:val="clear" w:color="auto" w:fill="auto"/>
            <w:vAlign w:val="bottom"/>
          </w:tcPr>
          <w:p w:rsidR="00770077" w:rsidRPr="000E1D69" w:rsidRDefault="00770077" w:rsidP="00770077">
            <w:pPr>
              <w:tabs>
                <w:tab w:val="left" w:pos="288"/>
                <w:tab w:val="left" w:pos="576"/>
                <w:tab w:val="left" w:pos="864"/>
                <w:tab w:val="left" w:pos="1152"/>
              </w:tabs>
              <w:spacing w:before="40" w:after="40" w:line="210" w:lineRule="exact"/>
              <w:ind w:right="40"/>
              <w:jc w:val="right"/>
              <w:rPr>
                <w:kern w:val="14"/>
                <w:sz w:val="17"/>
              </w:rPr>
            </w:pPr>
          </w:p>
        </w:tc>
        <w:tc>
          <w:tcPr>
            <w:tcW w:w="999" w:type="dxa"/>
            <w:shd w:val="clear" w:color="auto" w:fill="auto"/>
            <w:vAlign w:val="bottom"/>
          </w:tcPr>
          <w:p w:rsidR="00770077" w:rsidRPr="000E1D69" w:rsidRDefault="00770077" w:rsidP="0069186D">
            <w:pPr>
              <w:tabs>
                <w:tab w:val="decimal" w:pos="792"/>
              </w:tabs>
              <w:spacing w:before="40" w:after="40" w:line="210" w:lineRule="exact"/>
              <w:ind w:right="40"/>
              <w:rPr>
                <w:kern w:val="14"/>
                <w:sz w:val="17"/>
              </w:rPr>
            </w:pPr>
          </w:p>
        </w:tc>
        <w:tc>
          <w:tcPr>
            <w:tcW w:w="1017" w:type="dxa"/>
            <w:shd w:val="clear" w:color="auto" w:fill="auto"/>
            <w:vAlign w:val="bottom"/>
          </w:tcPr>
          <w:p w:rsidR="00770077" w:rsidRPr="000E1D69" w:rsidRDefault="00770077" w:rsidP="0069186D">
            <w:pPr>
              <w:tabs>
                <w:tab w:val="decimal" w:pos="765"/>
              </w:tabs>
              <w:spacing w:before="40" w:after="40" w:line="210" w:lineRule="exact"/>
              <w:ind w:right="40"/>
              <w:rPr>
                <w:kern w:val="14"/>
                <w:sz w:val="17"/>
              </w:rPr>
            </w:pPr>
          </w:p>
        </w:tc>
        <w:tc>
          <w:tcPr>
            <w:tcW w:w="1026" w:type="dxa"/>
            <w:shd w:val="clear" w:color="auto" w:fill="auto"/>
            <w:vAlign w:val="bottom"/>
          </w:tcPr>
          <w:p w:rsidR="00770077" w:rsidRPr="000E1D69" w:rsidRDefault="00770077" w:rsidP="00770077">
            <w:pPr>
              <w:tabs>
                <w:tab w:val="left" w:pos="288"/>
                <w:tab w:val="left" w:pos="576"/>
                <w:tab w:val="left" w:pos="864"/>
                <w:tab w:val="left" w:pos="1152"/>
              </w:tabs>
              <w:spacing w:before="40" w:after="40" w:line="210" w:lineRule="exact"/>
              <w:ind w:right="40"/>
              <w:jc w:val="right"/>
              <w:rPr>
                <w:kern w:val="14"/>
                <w:sz w:val="17"/>
              </w:rPr>
            </w:pPr>
          </w:p>
        </w:tc>
      </w:tr>
      <w:tr w:rsidR="005B6A72" w:rsidRPr="000E1D69" w:rsidTr="00B54BE9">
        <w:tc>
          <w:tcPr>
            <w:tcW w:w="2097" w:type="dxa"/>
            <w:shd w:val="clear" w:color="auto" w:fill="auto"/>
          </w:tcPr>
          <w:p w:rsidR="005B6A72" w:rsidRPr="000E1D69" w:rsidRDefault="005B6A72" w:rsidP="005B6A72">
            <w:pPr>
              <w:tabs>
                <w:tab w:val="left" w:pos="288"/>
                <w:tab w:val="left" w:pos="576"/>
                <w:tab w:val="left" w:pos="864"/>
                <w:tab w:val="left" w:pos="1152"/>
              </w:tabs>
              <w:spacing w:before="40" w:after="40" w:line="210" w:lineRule="exact"/>
              <w:ind w:left="576" w:hanging="576"/>
              <w:rPr>
                <w:kern w:val="14"/>
                <w:sz w:val="17"/>
              </w:rPr>
            </w:pPr>
            <w:r w:rsidRPr="000E1D69">
              <w:rPr>
                <w:kern w:val="14"/>
                <w:sz w:val="17"/>
              </w:rPr>
              <w:tab/>
              <w:t>1.</w:t>
            </w:r>
            <w:r w:rsidRPr="000E1D69">
              <w:rPr>
                <w:kern w:val="14"/>
                <w:sz w:val="17"/>
              </w:rPr>
              <w:tab/>
              <w:t>Personal internacional</w:t>
            </w:r>
          </w:p>
        </w:tc>
        <w:tc>
          <w:tcPr>
            <w:tcW w:w="900"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3 560,6</w:t>
            </w:r>
          </w:p>
        </w:tc>
        <w:tc>
          <w:tcPr>
            <w:tcW w:w="855"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4 184,0</w:t>
            </w:r>
          </w:p>
        </w:tc>
        <w:tc>
          <w:tcPr>
            <w:tcW w:w="945" w:type="dxa"/>
            <w:shd w:val="clear" w:color="auto" w:fill="auto"/>
            <w:vAlign w:val="bottom"/>
          </w:tcPr>
          <w:p w:rsidR="005B6A72" w:rsidRPr="000E1D69" w:rsidRDefault="005B6A72" w:rsidP="0069186D">
            <w:pPr>
              <w:tabs>
                <w:tab w:val="decimal" w:pos="711"/>
              </w:tabs>
              <w:spacing w:before="40" w:after="40" w:line="210" w:lineRule="exact"/>
              <w:ind w:right="40"/>
              <w:rPr>
                <w:kern w:val="14"/>
                <w:sz w:val="17"/>
              </w:rPr>
            </w:pPr>
            <w:r w:rsidRPr="000E1D69">
              <w:rPr>
                <w:kern w:val="14"/>
                <w:sz w:val="17"/>
              </w:rPr>
              <w:t>(623,4)</w:t>
            </w:r>
          </w:p>
        </w:tc>
        <w:tc>
          <w:tcPr>
            <w:tcW w:w="927" w:type="dxa"/>
            <w:shd w:val="clear" w:color="auto" w:fill="auto"/>
            <w:vAlign w:val="bottom"/>
          </w:tcPr>
          <w:p w:rsidR="005B6A72" w:rsidRPr="000E1D69" w:rsidRDefault="005B6A72" w:rsidP="0069186D">
            <w:pPr>
              <w:tabs>
                <w:tab w:val="decimal" w:pos="702"/>
              </w:tabs>
              <w:spacing w:before="40" w:after="40" w:line="210" w:lineRule="exact"/>
              <w:ind w:right="40"/>
              <w:rPr>
                <w:kern w:val="14"/>
                <w:sz w:val="17"/>
              </w:rPr>
            </w:pPr>
            <w:r w:rsidRPr="000E1D69">
              <w:rPr>
                <w:kern w:val="14"/>
                <w:sz w:val="17"/>
              </w:rPr>
              <w:t>3 560,6</w:t>
            </w:r>
          </w:p>
        </w:tc>
        <w:tc>
          <w:tcPr>
            <w:tcW w:w="1080" w:type="dxa"/>
            <w:gridSpan w:val="2"/>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8 168,8</w:t>
            </w:r>
          </w:p>
        </w:tc>
        <w:tc>
          <w:tcPr>
            <w:tcW w:w="999" w:type="dxa"/>
            <w:shd w:val="clear" w:color="auto" w:fill="auto"/>
            <w:vAlign w:val="bottom"/>
          </w:tcPr>
          <w:p w:rsidR="005B6A72" w:rsidRPr="000E1D69" w:rsidRDefault="0069186D" w:rsidP="0069186D">
            <w:pPr>
              <w:tabs>
                <w:tab w:val="decimal" w:pos="792"/>
              </w:tabs>
              <w:spacing w:before="40" w:after="40" w:line="210" w:lineRule="exact"/>
              <w:ind w:right="40"/>
              <w:rPr>
                <w:kern w:val="14"/>
                <w:sz w:val="17"/>
              </w:rPr>
            </w:pPr>
            <w:r w:rsidRPr="000E1D69">
              <w:rPr>
                <w:kern w:val="14"/>
                <w:sz w:val="17"/>
              </w:rPr>
              <w:t>–</w:t>
            </w:r>
          </w:p>
        </w:tc>
        <w:tc>
          <w:tcPr>
            <w:tcW w:w="1017" w:type="dxa"/>
            <w:shd w:val="clear" w:color="auto" w:fill="auto"/>
            <w:vAlign w:val="bottom"/>
          </w:tcPr>
          <w:p w:rsidR="005B6A72" w:rsidRPr="000E1D69" w:rsidRDefault="005B6A72" w:rsidP="0069186D">
            <w:pPr>
              <w:tabs>
                <w:tab w:val="decimal" w:pos="765"/>
              </w:tabs>
              <w:spacing w:before="40" w:after="40" w:line="210" w:lineRule="exact"/>
              <w:ind w:right="40"/>
              <w:rPr>
                <w:kern w:val="14"/>
                <w:sz w:val="17"/>
              </w:rPr>
            </w:pPr>
            <w:r w:rsidRPr="000E1D69">
              <w:rPr>
                <w:kern w:val="14"/>
                <w:sz w:val="17"/>
              </w:rPr>
              <w:t>4 608,2</w:t>
            </w:r>
          </w:p>
        </w:tc>
        <w:tc>
          <w:tcPr>
            <w:tcW w:w="1026"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8 792,2</w:t>
            </w:r>
          </w:p>
        </w:tc>
      </w:tr>
      <w:tr w:rsidR="005B6A72" w:rsidRPr="000E1D69" w:rsidTr="0069186D">
        <w:tc>
          <w:tcPr>
            <w:tcW w:w="2097" w:type="dxa"/>
            <w:tcBorders>
              <w:bottom w:val="single" w:sz="4" w:space="0" w:color="auto"/>
            </w:tcBorders>
            <w:shd w:val="clear" w:color="auto" w:fill="auto"/>
          </w:tcPr>
          <w:p w:rsidR="005B6A72" w:rsidRPr="000E1D69" w:rsidRDefault="005B6A72" w:rsidP="0069186D">
            <w:pPr>
              <w:tabs>
                <w:tab w:val="left" w:pos="288"/>
                <w:tab w:val="left" w:pos="576"/>
                <w:tab w:val="left" w:pos="864"/>
                <w:tab w:val="left" w:pos="1152"/>
              </w:tabs>
              <w:spacing w:before="40" w:after="81" w:line="210" w:lineRule="exact"/>
              <w:ind w:right="40"/>
              <w:rPr>
                <w:kern w:val="14"/>
                <w:sz w:val="17"/>
              </w:rPr>
            </w:pPr>
            <w:r w:rsidRPr="000E1D69">
              <w:rPr>
                <w:kern w:val="14"/>
                <w:sz w:val="17"/>
              </w:rPr>
              <w:tab/>
              <w:t>2.</w:t>
            </w:r>
            <w:r w:rsidRPr="000E1D69">
              <w:rPr>
                <w:kern w:val="14"/>
                <w:sz w:val="17"/>
              </w:rPr>
              <w:tab/>
              <w:t xml:space="preserve">Personal nacional </w:t>
            </w:r>
          </w:p>
        </w:tc>
        <w:tc>
          <w:tcPr>
            <w:tcW w:w="900" w:type="dxa"/>
            <w:tcBorders>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40" w:after="81" w:line="210" w:lineRule="exact"/>
              <w:ind w:right="40"/>
              <w:jc w:val="right"/>
              <w:rPr>
                <w:kern w:val="14"/>
                <w:sz w:val="17"/>
              </w:rPr>
            </w:pPr>
            <w:r w:rsidRPr="000E1D69">
              <w:rPr>
                <w:kern w:val="14"/>
                <w:sz w:val="17"/>
              </w:rPr>
              <w:t>244,2</w:t>
            </w:r>
          </w:p>
        </w:tc>
        <w:tc>
          <w:tcPr>
            <w:tcW w:w="855" w:type="dxa"/>
            <w:tcBorders>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40" w:after="81" w:line="210" w:lineRule="exact"/>
              <w:ind w:right="40"/>
              <w:jc w:val="right"/>
              <w:rPr>
                <w:kern w:val="14"/>
                <w:sz w:val="17"/>
              </w:rPr>
            </w:pPr>
            <w:r w:rsidRPr="000E1D69">
              <w:rPr>
                <w:kern w:val="14"/>
                <w:sz w:val="17"/>
              </w:rPr>
              <w:t>296,4</w:t>
            </w:r>
          </w:p>
        </w:tc>
        <w:tc>
          <w:tcPr>
            <w:tcW w:w="945" w:type="dxa"/>
            <w:tcBorders>
              <w:bottom w:val="single" w:sz="4" w:space="0" w:color="auto"/>
            </w:tcBorders>
            <w:shd w:val="clear" w:color="auto" w:fill="auto"/>
            <w:vAlign w:val="bottom"/>
          </w:tcPr>
          <w:p w:rsidR="005B6A72" w:rsidRPr="000E1D69" w:rsidRDefault="005B6A72" w:rsidP="0069186D">
            <w:pPr>
              <w:tabs>
                <w:tab w:val="decimal" w:pos="711"/>
              </w:tabs>
              <w:spacing w:before="40" w:after="81" w:line="210" w:lineRule="exact"/>
              <w:ind w:right="40"/>
              <w:rPr>
                <w:kern w:val="14"/>
                <w:sz w:val="17"/>
              </w:rPr>
            </w:pPr>
            <w:r w:rsidRPr="000E1D69">
              <w:rPr>
                <w:kern w:val="14"/>
                <w:sz w:val="17"/>
              </w:rPr>
              <w:t>(52,2)</w:t>
            </w:r>
          </w:p>
        </w:tc>
        <w:tc>
          <w:tcPr>
            <w:tcW w:w="927" w:type="dxa"/>
            <w:tcBorders>
              <w:bottom w:val="single" w:sz="4" w:space="0" w:color="auto"/>
            </w:tcBorders>
            <w:shd w:val="clear" w:color="auto" w:fill="auto"/>
            <w:vAlign w:val="bottom"/>
          </w:tcPr>
          <w:p w:rsidR="005B6A72" w:rsidRPr="000E1D69" w:rsidRDefault="005B6A72" w:rsidP="0069186D">
            <w:pPr>
              <w:tabs>
                <w:tab w:val="decimal" w:pos="702"/>
              </w:tabs>
              <w:spacing w:before="40" w:after="81" w:line="210" w:lineRule="exact"/>
              <w:ind w:right="40"/>
              <w:rPr>
                <w:kern w:val="14"/>
                <w:sz w:val="17"/>
              </w:rPr>
            </w:pPr>
            <w:r w:rsidRPr="000E1D69">
              <w:rPr>
                <w:kern w:val="14"/>
                <w:sz w:val="17"/>
              </w:rPr>
              <w:t>244,2</w:t>
            </w:r>
          </w:p>
        </w:tc>
        <w:tc>
          <w:tcPr>
            <w:tcW w:w="1080" w:type="dxa"/>
            <w:gridSpan w:val="2"/>
            <w:tcBorders>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40" w:after="81" w:line="210" w:lineRule="exact"/>
              <w:ind w:right="40"/>
              <w:jc w:val="right"/>
              <w:rPr>
                <w:kern w:val="14"/>
                <w:sz w:val="17"/>
              </w:rPr>
            </w:pPr>
            <w:r w:rsidRPr="000E1D69">
              <w:rPr>
                <w:kern w:val="14"/>
                <w:sz w:val="17"/>
              </w:rPr>
              <w:t>744,1</w:t>
            </w:r>
          </w:p>
        </w:tc>
        <w:tc>
          <w:tcPr>
            <w:tcW w:w="999" w:type="dxa"/>
            <w:tcBorders>
              <w:bottom w:val="single" w:sz="4" w:space="0" w:color="auto"/>
            </w:tcBorders>
            <w:shd w:val="clear" w:color="auto" w:fill="auto"/>
            <w:vAlign w:val="bottom"/>
          </w:tcPr>
          <w:p w:rsidR="005B6A72" w:rsidRPr="000E1D69" w:rsidRDefault="0069186D" w:rsidP="0069186D">
            <w:pPr>
              <w:tabs>
                <w:tab w:val="decimal" w:pos="792"/>
              </w:tabs>
              <w:spacing w:before="40" w:after="81" w:line="210" w:lineRule="exact"/>
              <w:ind w:right="40"/>
              <w:rPr>
                <w:kern w:val="14"/>
                <w:sz w:val="17"/>
              </w:rPr>
            </w:pPr>
            <w:r w:rsidRPr="000E1D69">
              <w:rPr>
                <w:kern w:val="14"/>
                <w:sz w:val="17"/>
              </w:rPr>
              <w:t>–</w:t>
            </w:r>
          </w:p>
        </w:tc>
        <w:tc>
          <w:tcPr>
            <w:tcW w:w="1017" w:type="dxa"/>
            <w:tcBorders>
              <w:bottom w:val="single" w:sz="4" w:space="0" w:color="auto"/>
            </w:tcBorders>
            <w:shd w:val="clear" w:color="auto" w:fill="auto"/>
            <w:vAlign w:val="bottom"/>
          </w:tcPr>
          <w:p w:rsidR="005B6A72" w:rsidRPr="000E1D69" w:rsidRDefault="005B6A72" w:rsidP="0069186D">
            <w:pPr>
              <w:tabs>
                <w:tab w:val="decimal" w:pos="765"/>
              </w:tabs>
              <w:spacing w:before="40" w:after="81" w:line="210" w:lineRule="exact"/>
              <w:ind w:right="40"/>
              <w:rPr>
                <w:kern w:val="14"/>
                <w:sz w:val="17"/>
              </w:rPr>
            </w:pPr>
            <w:r w:rsidRPr="000E1D69">
              <w:rPr>
                <w:kern w:val="14"/>
                <w:sz w:val="17"/>
              </w:rPr>
              <w:t>499,9</w:t>
            </w:r>
          </w:p>
        </w:tc>
        <w:tc>
          <w:tcPr>
            <w:tcW w:w="1026" w:type="dxa"/>
            <w:tcBorders>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40" w:after="81" w:line="210" w:lineRule="exact"/>
              <w:ind w:right="40"/>
              <w:jc w:val="right"/>
              <w:rPr>
                <w:kern w:val="14"/>
                <w:sz w:val="17"/>
              </w:rPr>
            </w:pPr>
            <w:r w:rsidRPr="000E1D69">
              <w:rPr>
                <w:kern w:val="14"/>
                <w:sz w:val="17"/>
              </w:rPr>
              <w:t>796,3</w:t>
            </w:r>
          </w:p>
        </w:tc>
      </w:tr>
      <w:tr w:rsidR="005B6A72" w:rsidRPr="000E1D69" w:rsidTr="0069186D">
        <w:tc>
          <w:tcPr>
            <w:tcW w:w="2097" w:type="dxa"/>
            <w:tcBorders>
              <w:top w:val="single" w:sz="4" w:space="0" w:color="auto"/>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81" w:line="210" w:lineRule="exact"/>
              <w:rPr>
                <w:b/>
                <w:kern w:val="14"/>
                <w:sz w:val="17"/>
              </w:rPr>
            </w:pPr>
            <w:r w:rsidRPr="000E1D69">
              <w:rPr>
                <w:b/>
                <w:kern w:val="14"/>
                <w:sz w:val="17"/>
              </w:rPr>
              <w:tab/>
              <w:t>Total de la categoría I</w:t>
            </w:r>
          </w:p>
        </w:tc>
        <w:tc>
          <w:tcPr>
            <w:tcW w:w="900" w:type="dxa"/>
            <w:tcBorders>
              <w:top w:val="single" w:sz="4" w:space="0" w:color="auto"/>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81" w:line="210" w:lineRule="exact"/>
              <w:ind w:right="40"/>
              <w:jc w:val="right"/>
              <w:rPr>
                <w:b/>
                <w:kern w:val="14"/>
                <w:sz w:val="17"/>
              </w:rPr>
            </w:pPr>
            <w:r w:rsidRPr="000E1D69">
              <w:rPr>
                <w:b/>
                <w:kern w:val="14"/>
                <w:sz w:val="17"/>
              </w:rPr>
              <w:t>3 804,8</w:t>
            </w:r>
          </w:p>
        </w:tc>
        <w:tc>
          <w:tcPr>
            <w:tcW w:w="855" w:type="dxa"/>
            <w:tcBorders>
              <w:top w:val="single" w:sz="4" w:space="0" w:color="auto"/>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81" w:line="210" w:lineRule="exact"/>
              <w:ind w:right="40"/>
              <w:jc w:val="right"/>
              <w:rPr>
                <w:b/>
                <w:kern w:val="14"/>
                <w:sz w:val="17"/>
              </w:rPr>
            </w:pPr>
            <w:r w:rsidRPr="000E1D69">
              <w:rPr>
                <w:b/>
                <w:kern w:val="14"/>
                <w:sz w:val="17"/>
              </w:rPr>
              <w:t>4 480,4</w:t>
            </w:r>
          </w:p>
        </w:tc>
        <w:tc>
          <w:tcPr>
            <w:tcW w:w="945" w:type="dxa"/>
            <w:tcBorders>
              <w:top w:val="single" w:sz="4" w:space="0" w:color="auto"/>
              <w:bottom w:val="single" w:sz="4" w:space="0" w:color="auto"/>
            </w:tcBorders>
            <w:shd w:val="clear" w:color="auto" w:fill="auto"/>
            <w:vAlign w:val="bottom"/>
          </w:tcPr>
          <w:p w:rsidR="005B6A72" w:rsidRPr="000E1D69" w:rsidRDefault="005B6A72" w:rsidP="0069186D">
            <w:pPr>
              <w:tabs>
                <w:tab w:val="decimal" w:pos="711"/>
              </w:tabs>
              <w:spacing w:before="81" w:after="81" w:line="210" w:lineRule="exact"/>
              <w:ind w:right="40"/>
              <w:rPr>
                <w:b/>
                <w:kern w:val="14"/>
                <w:sz w:val="17"/>
              </w:rPr>
            </w:pPr>
            <w:r w:rsidRPr="000E1D69">
              <w:rPr>
                <w:b/>
                <w:kern w:val="14"/>
                <w:sz w:val="17"/>
              </w:rPr>
              <w:t>(675,6)</w:t>
            </w:r>
          </w:p>
        </w:tc>
        <w:tc>
          <w:tcPr>
            <w:tcW w:w="927" w:type="dxa"/>
            <w:tcBorders>
              <w:top w:val="single" w:sz="4" w:space="0" w:color="auto"/>
              <w:bottom w:val="single" w:sz="4" w:space="0" w:color="auto"/>
            </w:tcBorders>
            <w:shd w:val="clear" w:color="auto" w:fill="auto"/>
            <w:vAlign w:val="bottom"/>
          </w:tcPr>
          <w:p w:rsidR="005B6A72" w:rsidRPr="000E1D69" w:rsidRDefault="005B6A72" w:rsidP="0069186D">
            <w:pPr>
              <w:tabs>
                <w:tab w:val="decimal" w:pos="702"/>
              </w:tabs>
              <w:spacing w:before="81" w:after="81" w:line="210" w:lineRule="exact"/>
              <w:ind w:right="40"/>
              <w:rPr>
                <w:b/>
                <w:kern w:val="14"/>
                <w:sz w:val="17"/>
              </w:rPr>
            </w:pPr>
            <w:r w:rsidRPr="000E1D69">
              <w:rPr>
                <w:b/>
                <w:kern w:val="14"/>
                <w:sz w:val="17"/>
              </w:rPr>
              <w:t>3 804,8</w:t>
            </w:r>
          </w:p>
        </w:tc>
        <w:tc>
          <w:tcPr>
            <w:tcW w:w="1080" w:type="dxa"/>
            <w:gridSpan w:val="2"/>
            <w:tcBorders>
              <w:top w:val="single" w:sz="4" w:space="0" w:color="auto"/>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81" w:line="210" w:lineRule="exact"/>
              <w:ind w:right="40"/>
              <w:jc w:val="right"/>
              <w:rPr>
                <w:b/>
                <w:kern w:val="14"/>
                <w:sz w:val="17"/>
              </w:rPr>
            </w:pPr>
            <w:r w:rsidRPr="000E1D69">
              <w:rPr>
                <w:b/>
                <w:kern w:val="14"/>
                <w:sz w:val="17"/>
              </w:rPr>
              <w:t>8 912,9</w:t>
            </w:r>
          </w:p>
        </w:tc>
        <w:tc>
          <w:tcPr>
            <w:tcW w:w="999" w:type="dxa"/>
            <w:tcBorders>
              <w:top w:val="single" w:sz="4" w:space="0" w:color="auto"/>
              <w:bottom w:val="single" w:sz="4" w:space="0" w:color="auto"/>
            </w:tcBorders>
            <w:shd w:val="clear" w:color="auto" w:fill="auto"/>
            <w:vAlign w:val="bottom"/>
          </w:tcPr>
          <w:p w:rsidR="005B6A72" w:rsidRPr="000E1D69" w:rsidRDefault="0069186D" w:rsidP="0069186D">
            <w:pPr>
              <w:tabs>
                <w:tab w:val="decimal" w:pos="792"/>
              </w:tabs>
              <w:spacing w:before="81" w:after="81" w:line="210" w:lineRule="exact"/>
              <w:ind w:right="40"/>
              <w:rPr>
                <w:b/>
                <w:kern w:val="14"/>
                <w:sz w:val="17"/>
              </w:rPr>
            </w:pPr>
            <w:r w:rsidRPr="000E1D69">
              <w:rPr>
                <w:b/>
                <w:kern w:val="14"/>
                <w:sz w:val="17"/>
              </w:rPr>
              <w:t>–</w:t>
            </w:r>
          </w:p>
        </w:tc>
        <w:tc>
          <w:tcPr>
            <w:tcW w:w="1017" w:type="dxa"/>
            <w:tcBorders>
              <w:top w:val="single" w:sz="4" w:space="0" w:color="auto"/>
              <w:bottom w:val="single" w:sz="4" w:space="0" w:color="auto"/>
            </w:tcBorders>
            <w:shd w:val="clear" w:color="auto" w:fill="auto"/>
            <w:vAlign w:val="bottom"/>
          </w:tcPr>
          <w:p w:rsidR="005B6A72" w:rsidRPr="000E1D69" w:rsidRDefault="005B6A72" w:rsidP="0069186D">
            <w:pPr>
              <w:tabs>
                <w:tab w:val="decimal" w:pos="765"/>
              </w:tabs>
              <w:spacing w:before="81" w:after="81" w:line="210" w:lineRule="exact"/>
              <w:ind w:right="40"/>
              <w:rPr>
                <w:b/>
                <w:kern w:val="14"/>
                <w:sz w:val="17"/>
              </w:rPr>
            </w:pPr>
            <w:r w:rsidRPr="000E1D69">
              <w:rPr>
                <w:b/>
                <w:kern w:val="14"/>
                <w:sz w:val="17"/>
              </w:rPr>
              <w:t>5 108,1</w:t>
            </w:r>
          </w:p>
        </w:tc>
        <w:tc>
          <w:tcPr>
            <w:tcW w:w="1026" w:type="dxa"/>
            <w:tcBorders>
              <w:top w:val="single" w:sz="4" w:space="0" w:color="auto"/>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81" w:line="210" w:lineRule="exact"/>
              <w:ind w:right="40"/>
              <w:jc w:val="right"/>
              <w:rPr>
                <w:b/>
                <w:kern w:val="14"/>
                <w:sz w:val="17"/>
              </w:rPr>
            </w:pPr>
            <w:r w:rsidRPr="000E1D69">
              <w:rPr>
                <w:b/>
                <w:kern w:val="14"/>
                <w:sz w:val="17"/>
              </w:rPr>
              <w:t>9 588,5</w:t>
            </w:r>
          </w:p>
        </w:tc>
      </w:tr>
      <w:tr w:rsidR="005B6A72" w:rsidRPr="000E1D69" w:rsidTr="0069186D">
        <w:tc>
          <w:tcPr>
            <w:tcW w:w="2097" w:type="dxa"/>
            <w:tcBorders>
              <w:top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40" w:line="210" w:lineRule="exact"/>
              <w:ind w:right="40"/>
              <w:rPr>
                <w:b/>
                <w:kern w:val="14"/>
                <w:sz w:val="17"/>
              </w:rPr>
            </w:pPr>
            <w:r w:rsidRPr="000E1D69">
              <w:rPr>
                <w:b/>
                <w:kern w:val="14"/>
                <w:sz w:val="17"/>
              </w:rPr>
              <w:t>II.</w:t>
            </w:r>
            <w:r w:rsidRPr="000E1D69">
              <w:rPr>
                <w:b/>
                <w:kern w:val="14"/>
                <w:sz w:val="17"/>
              </w:rPr>
              <w:tab/>
              <w:t xml:space="preserve">Gastos operacionales </w:t>
            </w:r>
          </w:p>
        </w:tc>
        <w:tc>
          <w:tcPr>
            <w:tcW w:w="900" w:type="dxa"/>
            <w:tcBorders>
              <w:top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40" w:line="210" w:lineRule="exact"/>
              <w:ind w:right="40"/>
              <w:jc w:val="right"/>
              <w:rPr>
                <w:kern w:val="14"/>
                <w:sz w:val="17"/>
              </w:rPr>
            </w:pPr>
          </w:p>
        </w:tc>
        <w:tc>
          <w:tcPr>
            <w:tcW w:w="855" w:type="dxa"/>
            <w:tcBorders>
              <w:top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40" w:line="210" w:lineRule="exact"/>
              <w:ind w:right="40"/>
              <w:jc w:val="right"/>
              <w:rPr>
                <w:kern w:val="14"/>
                <w:sz w:val="17"/>
              </w:rPr>
            </w:pPr>
          </w:p>
        </w:tc>
        <w:tc>
          <w:tcPr>
            <w:tcW w:w="945" w:type="dxa"/>
            <w:tcBorders>
              <w:top w:val="single" w:sz="4" w:space="0" w:color="auto"/>
            </w:tcBorders>
            <w:shd w:val="clear" w:color="auto" w:fill="auto"/>
            <w:vAlign w:val="bottom"/>
          </w:tcPr>
          <w:p w:rsidR="005B6A72" w:rsidRPr="000E1D69" w:rsidRDefault="005B6A72" w:rsidP="0069186D">
            <w:pPr>
              <w:tabs>
                <w:tab w:val="decimal" w:pos="711"/>
              </w:tabs>
              <w:spacing w:before="81" w:after="40" w:line="210" w:lineRule="exact"/>
              <w:ind w:right="40"/>
              <w:rPr>
                <w:kern w:val="14"/>
                <w:sz w:val="17"/>
              </w:rPr>
            </w:pPr>
          </w:p>
        </w:tc>
        <w:tc>
          <w:tcPr>
            <w:tcW w:w="927" w:type="dxa"/>
            <w:tcBorders>
              <w:top w:val="single" w:sz="4" w:space="0" w:color="auto"/>
            </w:tcBorders>
            <w:shd w:val="clear" w:color="auto" w:fill="auto"/>
            <w:vAlign w:val="bottom"/>
          </w:tcPr>
          <w:p w:rsidR="005B6A72" w:rsidRPr="000E1D69" w:rsidRDefault="005B6A72" w:rsidP="0069186D">
            <w:pPr>
              <w:tabs>
                <w:tab w:val="decimal" w:pos="702"/>
              </w:tabs>
              <w:spacing w:before="81" w:after="40" w:line="210" w:lineRule="exact"/>
              <w:ind w:right="40"/>
              <w:rPr>
                <w:kern w:val="14"/>
                <w:sz w:val="17"/>
              </w:rPr>
            </w:pPr>
          </w:p>
        </w:tc>
        <w:tc>
          <w:tcPr>
            <w:tcW w:w="1080" w:type="dxa"/>
            <w:gridSpan w:val="2"/>
            <w:tcBorders>
              <w:top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40" w:line="210" w:lineRule="exact"/>
              <w:ind w:right="40"/>
              <w:jc w:val="right"/>
              <w:rPr>
                <w:kern w:val="14"/>
                <w:sz w:val="17"/>
              </w:rPr>
            </w:pPr>
          </w:p>
        </w:tc>
        <w:tc>
          <w:tcPr>
            <w:tcW w:w="999" w:type="dxa"/>
            <w:tcBorders>
              <w:top w:val="single" w:sz="4" w:space="0" w:color="auto"/>
            </w:tcBorders>
            <w:shd w:val="clear" w:color="auto" w:fill="auto"/>
            <w:vAlign w:val="bottom"/>
          </w:tcPr>
          <w:p w:rsidR="005B6A72" w:rsidRPr="000E1D69" w:rsidRDefault="005B6A72" w:rsidP="0069186D">
            <w:pPr>
              <w:tabs>
                <w:tab w:val="decimal" w:pos="792"/>
              </w:tabs>
              <w:spacing w:before="81" w:after="40" w:line="210" w:lineRule="exact"/>
              <w:ind w:right="40"/>
              <w:rPr>
                <w:kern w:val="14"/>
                <w:sz w:val="17"/>
              </w:rPr>
            </w:pPr>
          </w:p>
        </w:tc>
        <w:tc>
          <w:tcPr>
            <w:tcW w:w="1017" w:type="dxa"/>
            <w:tcBorders>
              <w:top w:val="single" w:sz="4" w:space="0" w:color="auto"/>
            </w:tcBorders>
            <w:shd w:val="clear" w:color="auto" w:fill="auto"/>
            <w:vAlign w:val="bottom"/>
          </w:tcPr>
          <w:p w:rsidR="005B6A72" w:rsidRPr="000E1D69" w:rsidRDefault="005B6A72" w:rsidP="0069186D">
            <w:pPr>
              <w:tabs>
                <w:tab w:val="decimal" w:pos="765"/>
              </w:tabs>
              <w:spacing w:before="81" w:after="40" w:line="210" w:lineRule="exact"/>
              <w:ind w:right="40"/>
              <w:rPr>
                <w:kern w:val="14"/>
                <w:sz w:val="17"/>
              </w:rPr>
            </w:pPr>
          </w:p>
        </w:tc>
        <w:tc>
          <w:tcPr>
            <w:tcW w:w="1026" w:type="dxa"/>
            <w:tcBorders>
              <w:top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40" w:line="210" w:lineRule="exact"/>
              <w:ind w:right="40"/>
              <w:jc w:val="right"/>
              <w:rPr>
                <w:kern w:val="14"/>
                <w:sz w:val="17"/>
              </w:rPr>
            </w:pPr>
          </w:p>
        </w:tc>
      </w:tr>
      <w:tr w:rsidR="005B6A72" w:rsidRPr="000E1D69" w:rsidTr="00B54BE9">
        <w:tc>
          <w:tcPr>
            <w:tcW w:w="2097" w:type="dxa"/>
            <w:shd w:val="clear" w:color="auto" w:fill="auto"/>
          </w:tcPr>
          <w:p w:rsidR="005B6A72" w:rsidRPr="000E1D69" w:rsidRDefault="005B6A72" w:rsidP="005B6A72">
            <w:pPr>
              <w:tabs>
                <w:tab w:val="left" w:pos="288"/>
                <w:tab w:val="left" w:pos="576"/>
                <w:tab w:val="left" w:pos="864"/>
                <w:tab w:val="left" w:pos="1152"/>
              </w:tabs>
              <w:suppressAutoHyphens w:val="0"/>
              <w:spacing w:before="40" w:after="40" w:line="210" w:lineRule="exact"/>
              <w:ind w:right="40"/>
              <w:rPr>
                <w:kern w:val="14"/>
                <w:sz w:val="17"/>
              </w:rPr>
            </w:pPr>
            <w:r w:rsidRPr="000E1D69">
              <w:rPr>
                <w:kern w:val="14"/>
                <w:sz w:val="17"/>
              </w:rPr>
              <w:tab/>
              <w:t>1.</w:t>
            </w:r>
            <w:r w:rsidRPr="000E1D69">
              <w:rPr>
                <w:kern w:val="14"/>
                <w:sz w:val="17"/>
              </w:rPr>
              <w:tab/>
              <w:t>Viajes oficiales</w:t>
            </w:r>
          </w:p>
        </w:tc>
        <w:tc>
          <w:tcPr>
            <w:tcW w:w="900"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1 135,0</w:t>
            </w:r>
          </w:p>
        </w:tc>
        <w:tc>
          <w:tcPr>
            <w:tcW w:w="855"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1 246,5</w:t>
            </w:r>
          </w:p>
        </w:tc>
        <w:tc>
          <w:tcPr>
            <w:tcW w:w="945" w:type="dxa"/>
            <w:shd w:val="clear" w:color="auto" w:fill="auto"/>
            <w:vAlign w:val="bottom"/>
          </w:tcPr>
          <w:p w:rsidR="005B6A72" w:rsidRPr="000E1D69" w:rsidRDefault="005B6A72" w:rsidP="0069186D">
            <w:pPr>
              <w:tabs>
                <w:tab w:val="decimal" w:pos="711"/>
              </w:tabs>
              <w:spacing w:before="40" w:after="40" w:line="210" w:lineRule="exact"/>
              <w:ind w:right="40"/>
              <w:rPr>
                <w:kern w:val="14"/>
                <w:sz w:val="17"/>
              </w:rPr>
            </w:pPr>
            <w:r w:rsidRPr="000E1D69">
              <w:rPr>
                <w:kern w:val="14"/>
                <w:sz w:val="17"/>
              </w:rPr>
              <w:t>(111,5)</w:t>
            </w:r>
          </w:p>
        </w:tc>
        <w:tc>
          <w:tcPr>
            <w:tcW w:w="927" w:type="dxa"/>
            <w:shd w:val="clear" w:color="auto" w:fill="auto"/>
            <w:vAlign w:val="bottom"/>
          </w:tcPr>
          <w:p w:rsidR="005B6A72" w:rsidRPr="000E1D69" w:rsidRDefault="005B6A72" w:rsidP="0069186D">
            <w:pPr>
              <w:tabs>
                <w:tab w:val="decimal" w:pos="702"/>
              </w:tabs>
              <w:spacing w:before="40" w:after="40" w:line="210" w:lineRule="exact"/>
              <w:ind w:right="40"/>
              <w:rPr>
                <w:kern w:val="14"/>
                <w:sz w:val="17"/>
              </w:rPr>
            </w:pPr>
            <w:r w:rsidRPr="000E1D69">
              <w:rPr>
                <w:kern w:val="14"/>
                <w:sz w:val="17"/>
              </w:rPr>
              <w:t>1 135,0</w:t>
            </w:r>
          </w:p>
        </w:tc>
        <w:tc>
          <w:tcPr>
            <w:tcW w:w="1080" w:type="dxa"/>
            <w:gridSpan w:val="2"/>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1 059,8</w:t>
            </w:r>
          </w:p>
        </w:tc>
        <w:tc>
          <w:tcPr>
            <w:tcW w:w="999" w:type="dxa"/>
            <w:shd w:val="clear" w:color="auto" w:fill="auto"/>
            <w:vAlign w:val="bottom"/>
          </w:tcPr>
          <w:p w:rsidR="005B6A72" w:rsidRPr="000E1D69" w:rsidRDefault="0069186D" w:rsidP="0069186D">
            <w:pPr>
              <w:tabs>
                <w:tab w:val="decimal" w:pos="792"/>
              </w:tabs>
              <w:spacing w:before="40" w:after="40" w:line="210" w:lineRule="exact"/>
              <w:ind w:right="40"/>
              <w:rPr>
                <w:kern w:val="14"/>
                <w:sz w:val="17"/>
              </w:rPr>
            </w:pPr>
            <w:r w:rsidRPr="000E1D69">
              <w:rPr>
                <w:kern w:val="14"/>
                <w:sz w:val="17"/>
              </w:rPr>
              <w:t>–</w:t>
            </w:r>
          </w:p>
        </w:tc>
        <w:tc>
          <w:tcPr>
            <w:tcW w:w="1017" w:type="dxa"/>
            <w:shd w:val="clear" w:color="auto" w:fill="auto"/>
            <w:vAlign w:val="bottom"/>
          </w:tcPr>
          <w:p w:rsidR="005B6A72" w:rsidRPr="000E1D69" w:rsidRDefault="005B6A72" w:rsidP="0069186D">
            <w:pPr>
              <w:tabs>
                <w:tab w:val="decimal" w:pos="765"/>
              </w:tabs>
              <w:spacing w:before="40" w:after="40" w:line="210" w:lineRule="exact"/>
              <w:ind w:right="40"/>
              <w:rPr>
                <w:kern w:val="14"/>
                <w:sz w:val="17"/>
              </w:rPr>
            </w:pPr>
            <w:r w:rsidRPr="000E1D69">
              <w:rPr>
                <w:kern w:val="14"/>
                <w:sz w:val="17"/>
              </w:rPr>
              <w:t>(75,2)</w:t>
            </w:r>
          </w:p>
        </w:tc>
        <w:tc>
          <w:tcPr>
            <w:tcW w:w="1026"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1 171,3</w:t>
            </w:r>
          </w:p>
        </w:tc>
      </w:tr>
      <w:tr w:rsidR="005B6A72" w:rsidRPr="000E1D69" w:rsidTr="00B54BE9">
        <w:tc>
          <w:tcPr>
            <w:tcW w:w="2097" w:type="dxa"/>
            <w:shd w:val="clear" w:color="auto" w:fill="auto"/>
          </w:tcPr>
          <w:p w:rsidR="005B6A72" w:rsidRPr="000E1D69" w:rsidRDefault="005B6A72" w:rsidP="00171500">
            <w:pPr>
              <w:tabs>
                <w:tab w:val="left" w:pos="288"/>
                <w:tab w:val="left" w:pos="576"/>
                <w:tab w:val="left" w:pos="864"/>
                <w:tab w:val="left" w:pos="1152"/>
              </w:tabs>
              <w:spacing w:before="40" w:after="40" w:line="210" w:lineRule="exact"/>
              <w:ind w:left="576" w:right="180" w:hanging="576"/>
              <w:rPr>
                <w:kern w:val="14"/>
                <w:sz w:val="17"/>
              </w:rPr>
            </w:pPr>
            <w:r w:rsidRPr="000E1D69">
              <w:rPr>
                <w:kern w:val="14"/>
                <w:sz w:val="17"/>
              </w:rPr>
              <w:tab/>
              <w:t>2.</w:t>
            </w:r>
            <w:r w:rsidRPr="000E1D69">
              <w:rPr>
                <w:kern w:val="14"/>
                <w:sz w:val="17"/>
              </w:rPr>
              <w:tab/>
              <w:t>Instalaciones e infraestructura</w:t>
            </w:r>
          </w:p>
        </w:tc>
        <w:tc>
          <w:tcPr>
            <w:tcW w:w="900"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659,8</w:t>
            </w:r>
          </w:p>
        </w:tc>
        <w:tc>
          <w:tcPr>
            <w:tcW w:w="855"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761,2</w:t>
            </w:r>
          </w:p>
        </w:tc>
        <w:tc>
          <w:tcPr>
            <w:tcW w:w="945" w:type="dxa"/>
            <w:shd w:val="clear" w:color="auto" w:fill="auto"/>
            <w:vAlign w:val="bottom"/>
          </w:tcPr>
          <w:p w:rsidR="005B6A72" w:rsidRPr="000E1D69" w:rsidRDefault="005B6A72" w:rsidP="0069186D">
            <w:pPr>
              <w:tabs>
                <w:tab w:val="decimal" w:pos="711"/>
              </w:tabs>
              <w:spacing w:before="40" w:after="40" w:line="210" w:lineRule="exact"/>
              <w:ind w:right="40"/>
              <w:rPr>
                <w:kern w:val="14"/>
                <w:sz w:val="17"/>
              </w:rPr>
            </w:pPr>
            <w:r w:rsidRPr="000E1D69">
              <w:rPr>
                <w:kern w:val="14"/>
                <w:sz w:val="17"/>
              </w:rPr>
              <w:t>(101,4)</w:t>
            </w:r>
          </w:p>
        </w:tc>
        <w:tc>
          <w:tcPr>
            <w:tcW w:w="927" w:type="dxa"/>
            <w:shd w:val="clear" w:color="auto" w:fill="auto"/>
            <w:vAlign w:val="bottom"/>
          </w:tcPr>
          <w:p w:rsidR="005B6A72" w:rsidRPr="000E1D69" w:rsidRDefault="005B6A72" w:rsidP="0069186D">
            <w:pPr>
              <w:tabs>
                <w:tab w:val="decimal" w:pos="702"/>
              </w:tabs>
              <w:spacing w:before="40" w:after="40" w:line="210" w:lineRule="exact"/>
              <w:ind w:right="40"/>
              <w:rPr>
                <w:kern w:val="14"/>
                <w:sz w:val="17"/>
              </w:rPr>
            </w:pPr>
            <w:r w:rsidRPr="000E1D69">
              <w:rPr>
                <w:kern w:val="14"/>
                <w:sz w:val="17"/>
              </w:rPr>
              <w:t>659,8</w:t>
            </w:r>
          </w:p>
        </w:tc>
        <w:tc>
          <w:tcPr>
            <w:tcW w:w="1080" w:type="dxa"/>
            <w:gridSpan w:val="2"/>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2 814,4</w:t>
            </w:r>
          </w:p>
        </w:tc>
        <w:tc>
          <w:tcPr>
            <w:tcW w:w="999" w:type="dxa"/>
            <w:shd w:val="clear" w:color="auto" w:fill="auto"/>
            <w:vAlign w:val="bottom"/>
          </w:tcPr>
          <w:p w:rsidR="005B6A72" w:rsidRPr="000E1D69" w:rsidRDefault="005B6A72" w:rsidP="0069186D">
            <w:pPr>
              <w:tabs>
                <w:tab w:val="decimal" w:pos="792"/>
              </w:tabs>
              <w:spacing w:before="40" w:after="40" w:line="210" w:lineRule="exact"/>
              <w:ind w:right="40"/>
              <w:rPr>
                <w:kern w:val="14"/>
                <w:sz w:val="17"/>
              </w:rPr>
            </w:pPr>
            <w:r w:rsidRPr="000E1D69">
              <w:rPr>
                <w:kern w:val="14"/>
                <w:sz w:val="17"/>
              </w:rPr>
              <w:t>344,8</w:t>
            </w:r>
          </w:p>
        </w:tc>
        <w:tc>
          <w:tcPr>
            <w:tcW w:w="1017" w:type="dxa"/>
            <w:shd w:val="clear" w:color="auto" w:fill="auto"/>
            <w:vAlign w:val="bottom"/>
          </w:tcPr>
          <w:p w:rsidR="005B6A72" w:rsidRPr="000E1D69" w:rsidRDefault="005B6A72" w:rsidP="0069186D">
            <w:pPr>
              <w:tabs>
                <w:tab w:val="decimal" w:pos="765"/>
              </w:tabs>
              <w:spacing w:before="40" w:after="40" w:line="210" w:lineRule="exact"/>
              <w:ind w:right="40"/>
              <w:rPr>
                <w:kern w:val="14"/>
                <w:sz w:val="17"/>
              </w:rPr>
            </w:pPr>
            <w:r w:rsidRPr="000E1D69">
              <w:rPr>
                <w:kern w:val="14"/>
                <w:sz w:val="17"/>
              </w:rPr>
              <w:t>2 154,6</w:t>
            </w:r>
          </w:p>
        </w:tc>
        <w:tc>
          <w:tcPr>
            <w:tcW w:w="1026"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2 915,8</w:t>
            </w:r>
          </w:p>
        </w:tc>
      </w:tr>
      <w:tr w:rsidR="005B6A72" w:rsidRPr="000E1D69" w:rsidTr="00B54BE9">
        <w:tc>
          <w:tcPr>
            <w:tcW w:w="2097" w:type="dxa"/>
            <w:shd w:val="clear" w:color="auto" w:fill="auto"/>
          </w:tcPr>
          <w:p w:rsidR="005B6A72" w:rsidRPr="000E1D69" w:rsidRDefault="005B6A72" w:rsidP="00171500">
            <w:pPr>
              <w:tabs>
                <w:tab w:val="left" w:pos="288"/>
                <w:tab w:val="left" w:pos="576"/>
                <w:tab w:val="left" w:pos="864"/>
                <w:tab w:val="left" w:pos="1152"/>
              </w:tabs>
              <w:spacing w:before="40" w:after="40" w:line="210" w:lineRule="exact"/>
              <w:ind w:right="40"/>
              <w:rPr>
                <w:kern w:val="14"/>
                <w:sz w:val="17"/>
              </w:rPr>
            </w:pPr>
            <w:r w:rsidRPr="000E1D69">
              <w:rPr>
                <w:kern w:val="14"/>
                <w:sz w:val="17"/>
              </w:rPr>
              <w:tab/>
              <w:t>3.</w:t>
            </w:r>
            <w:r w:rsidRPr="000E1D69">
              <w:rPr>
                <w:kern w:val="14"/>
                <w:sz w:val="17"/>
              </w:rPr>
              <w:tab/>
              <w:t>Transporte terrestre</w:t>
            </w:r>
          </w:p>
        </w:tc>
        <w:tc>
          <w:tcPr>
            <w:tcW w:w="900"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53,8</w:t>
            </w:r>
          </w:p>
        </w:tc>
        <w:tc>
          <w:tcPr>
            <w:tcW w:w="855"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185,6</w:t>
            </w:r>
          </w:p>
        </w:tc>
        <w:tc>
          <w:tcPr>
            <w:tcW w:w="945" w:type="dxa"/>
            <w:shd w:val="clear" w:color="auto" w:fill="auto"/>
            <w:vAlign w:val="bottom"/>
          </w:tcPr>
          <w:p w:rsidR="005B6A72" w:rsidRPr="000E1D69" w:rsidRDefault="005B6A72" w:rsidP="0069186D">
            <w:pPr>
              <w:tabs>
                <w:tab w:val="decimal" w:pos="711"/>
              </w:tabs>
              <w:spacing w:before="40" w:after="40" w:line="210" w:lineRule="exact"/>
              <w:ind w:right="40"/>
              <w:rPr>
                <w:kern w:val="14"/>
                <w:sz w:val="17"/>
              </w:rPr>
            </w:pPr>
            <w:r w:rsidRPr="000E1D69">
              <w:rPr>
                <w:kern w:val="14"/>
                <w:sz w:val="17"/>
              </w:rPr>
              <w:t>(131,8)</w:t>
            </w:r>
          </w:p>
        </w:tc>
        <w:tc>
          <w:tcPr>
            <w:tcW w:w="927" w:type="dxa"/>
            <w:shd w:val="clear" w:color="auto" w:fill="auto"/>
            <w:vAlign w:val="bottom"/>
          </w:tcPr>
          <w:p w:rsidR="005B6A72" w:rsidRPr="000E1D69" w:rsidRDefault="005B6A72" w:rsidP="0069186D">
            <w:pPr>
              <w:tabs>
                <w:tab w:val="decimal" w:pos="702"/>
              </w:tabs>
              <w:spacing w:before="40" w:after="40" w:line="210" w:lineRule="exact"/>
              <w:ind w:right="40"/>
              <w:rPr>
                <w:kern w:val="14"/>
                <w:sz w:val="17"/>
              </w:rPr>
            </w:pPr>
            <w:r w:rsidRPr="000E1D69">
              <w:rPr>
                <w:kern w:val="14"/>
                <w:sz w:val="17"/>
              </w:rPr>
              <w:t>53,8</w:t>
            </w:r>
          </w:p>
        </w:tc>
        <w:tc>
          <w:tcPr>
            <w:tcW w:w="1080" w:type="dxa"/>
            <w:gridSpan w:val="2"/>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1 194,7</w:t>
            </w:r>
          </w:p>
        </w:tc>
        <w:tc>
          <w:tcPr>
            <w:tcW w:w="999" w:type="dxa"/>
            <w:shd w:val="clear" w:color="auto" w:fill="auto"/>
            <w:vAlign w:val="bottom"/>
          </w:tcPr>
          <w:p w:rsidR="005B6A72" w:rsidRPr="000E1D69" w:rsidRDefault="005B6A72" w:rsidP="0069186D">
            <w:pPr>
              <w:tabs>
                <w:tab w:val="decimal" w:pos="792"/>
              </w:tabs>
              <w:spacing w:before="40" w:after="40" w:line="210" w:lineRule="exact"/>
              <w:ind w:right="40"/>
              <w:rPr>
                <w:kern w:val="14"/>
                <w:sz w:val="17"/>
              </w:rPr>
            </w:pPr>
            <w:r w:rsidRPr="000E1D69">
              <w:rPr>
                <w:kern w:val="14"/>
                <w:sz w:val="17"/>
              </w:rPr>
              <w:t>828,4</w:t>
            </w:r>
          </w:p>
        </w:tc>
        <w:tc>
          <w:tcPr>
            <w:tcW w:w="1017" w:type="dxa"/>
            <w:shd w:val="clear" w:color="auto" w:fill="auto"/>
            <w:vAlign w:val="bottom"/>
          </w:tcPr>
          <w:p w:rsidR="005B6A72" w:rsidRPr="000E1D69" w:rsidRDefault="005B6A72" w:rsidP="0069186D">
            <w:pPr>
              <w:tabs>
                <w:tab w:val="decimal" w:pos="765"/>
              </w:tabs>
              <w:spacing w:before="40" w:after="40" w:line="210" w:lineRule="exact"/>
              <w:ind w:right="40"/>
              <w:rPr>
                <w:kern w:val="14"/>
                <w:sz w:val="17"/>
              </w:rPr>
            </w:pPr>
            <w:r w:rsidRPr="000E1D69">
              <w:rPr>
                <w:kern w:val="14"/>
                <w:sz w:val="17"/>
              </w:rPr>
              <w:t>1 140,9</w:t>
            </w:r>
          </w:p>
        </w:tc>
        <w:tc>
          <w:tcPr>
            <w:tcW w:w="1026"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1 326,5</w:t>
            </w:r>
          </w:p>
        </w:tc>
      </w:tr>
      <w:tr w:rsidR="005B6A72" w:rsidRPr="000E1D69" w:rsidTr="00B54BE9">
        <w:tc>
          <w:tcPr>
            <w:tcW w:w="2097" w:type="dxa"/>
            <w:shd w:val="clear" w:color="auto" w:fill="auto"/>
          </w:tcPr>
          <w:p w:rsidR="005B6A72" w:rsidRPr="000E1D69" w:rsidRDefault="005B6A72" w:rsidP="00171500">
            <w:pPr>
              <w:tabs>
                <w:tab w:val="left" w:pos="288"/>
                <w:tab w:val="left" w:pos="576"/>
                <w:tab w:val="left" w:pos="864"/>
                <w:tab w:val="left" w:pos="1152"/>
              </w:tabs>
              <w:spacing w:before="40" w:after="40" w:line="210" w:lineRule="exact"/>
              <w:ind w:right="40"/>
              <w:rPr>
                <w:kern w:val="14"/>
                <w:sz w:val="17"/>
              </w:rPr>
            </w:pPr>
            <w:r w:rsidRPr="000E1D69">
              <w:rPr>
                <w:kern w:val="14"/>
                <w:sz w:val="17"/>
              </w:rPr>
              <w:tab/>
              <w:t>4.</w:t>
            </w:r>
            <w:r w:rsidRPr="000E1D69">
              <w:rPr>
                <w:kern w:val="14"/>
                <w:sz w:val="17"/>
              </w:rPr>
              <w:tab/>
              <w:t>Transporte aéreo</w:t>
            </w:r>
          </w:p>
        </w:tc>
        <w:tc>
          <w:tcPr>
            <w:tcW w:w="900"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492,8</w:t>
            </w:r>
          </w:p>
        </w:tc>
        <w:tc>
          <w:tcPr>
            <w:tcW w:w="855"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658,8</w:t>
            </w:r>
          </w:p>
        </w:tc>
        <w:tc>
          <w:tcPr>
            <w:tcW w:w="945" w:type="dxa"/>
            <w:shd w:val="clear" w:color="auto" w:fill="auto"/>
            <w:vAlign w:val="bottom"/>
          </w:tcPr>
          <w:p w:rsidR="005B6A72" w:rsidRPr="000E1D69" w:rsidRDefault="005B6A72" w:rsidP="0069186D">
            <w:pPr>
              <w:tabs>
                <w:tab w:val="decimal" w:pos="711"/>
              </w:tabs>
              <w:spacing w:before="40" w:after="40" w:line="210" w:lineRule="exact"/>
              <w:ind w:right="40"/>
              <w:rPr>
                <w:kern w:val="14"/>
                <w:sz w:val="17"/>
              </w:rPr>
            </w:pPr>
            <w:r w:rsidRPr="000E1D69">
              <w:rPr>
                <w:kern w:val="14"/>
                <w:sz w:val="17"/>
              </w:rPr>
              <w:t>(166,0)</w:t>
            </w:r>
          </w:p>
        </w:tc>
        <w:tc>
          <w:tcPr>
            <w:tcW w:w="927" w:type="dxa"/>
            <w:shd w:val="clear" w:color="auto" w:fill="auto"/>
            <w:vAlign w:val="bottom"/>
          </w:tcPr>
          <w:p w:rsidR="005B6A72" w:rsidRPr="000E1D69" w:rsidRDefault="005B6A72" w:rsidP="0069186D">
            <w:pPr>
              <w:tabs>
                <w:tab w:val="decimal" w:pos="702"/>
              </w:tabs>
              <w:spacing w:before="40" w:after="40" w:line="210" w:lineRule="exact"/>
              <w:ind w:right="40"/>
              <w:rPr>
                <w:kern w:val="14"/>
                <w:sz w:val="17"/>
              </w:rPr>
            </w:pPr>
            <w:r w:rsidRPr="000E1D69">
              <w:rPr>
                <w:kern w:val="14"/>
                <w:sz w:val="17"/>
              </w:rPr>
              <w:t>492,8</w:t>
            </w:r>
          </w:p>
        </w:tc>
        <w:tc>
          <w:tcPr>
            <w:tcW w:w="1080" w:type="dxa"/>
            <w:gridSpan w:val="2"/>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192,8</w:t>
            </w:r>
          </w:p>
        </w:tc>
        <w:tc>
          <w:tcPr>
            <w:tcW w:w="999" w:type="dxa"/>
            <w:shd w:val="clear" w:color="auto" w:fill="auto"/>
            <w:vAlign w:val="bottom"/>
          </w:tcPr>
          <w:p w:rsidR="005B6A72" w:rsidRPr="000E1D69" w:rsidRDefault="0069186D" w:rsidP="0069186D">
            <w:pPr>
              <w:tabs>
                <w:tab w:val="decimal" w:pos="792"/>
              </w:tabs>
              <w:spacing w:before="40" w:after="40" w:line="210" w:lineRule="exact"/>
              <w:ind w:right="40"/>
              <w:rPr>
                <w:kern w:val="14"/>
                <w:sz w:val="17"/>
              </w:rPr>
            </w:pPr>
            <w:r w:rsidRPr="000E1D69">
              <w:rPr>
                <w:kern w:val="14"/>
                <w:sz w:val="17"/>
              </w:rPr>
              <w:t>–</w:t>
            </w:r>
          </w:p>
        </w:tc>
        <w:tc>
          <w:tcPr>
            <w:tcW w:w="1017" w:type="dxa"/>
            <w:shd w:val="clear" w:color="auto" w:fill="auto"/>
            <w:vAlign w:val="bottom"/>
          </w:tcPr>
          <w:p w:rsidR="005B6A72" w:rsidRPr="000E1D69" w:rsidRDefault="005B6A72" w:rsidP="0069186D">
            <w:pPr>
              <w:tabs>
                <w:tab w:val="decimal" w:pos="765"/>
              </w:tabs>
              <w:spacing w:before="40" w:after="40" w:line="210" w:lineRule="exact"/>
              <w:ind w:right="40"/>
              <w:rPr>
                <w:kern w:val="14"/>
                <w:sz w:val="17"/>
              </w:rPr>
            </w:pPr>
            <w:r w:rsidRPr="000E1D69">
              <w:rPr>
                <w:kern w:val="14"/>
                <w:sz w:val="17"/>
              </w:rPr>
              <w:t>(300,0)</w:t>
            </w:r>
          </w:p>
        </w:tc>
        <w:tc>
          <w:tcPr>
            <w:tcW w:w="1026"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358,8</w:t>
            </w:r>
          </w:p>
        </w:tc>
      </w:tr>
      <w:tr w:rsidR="005B6A72" w:rsidRPr="000E1D69" w:rsidTr="00B54BE9">
        <w:tc>
          <w:tcPr>
            <w:tcW w:w="2097" w:type="dxa"/>
            <w:shd w:val="clear" w:color="auto" w:fill="auto"/>
          </w:tcPr>
          <w:p w:rsidR="005B6A72" w:rsidRPr="000E1D69" w:rsidRDefault="005B6A72" w:rsidP="00171500">
            <w:pPr>
              <w:tabs>
                <w:tab w:val="left" w:pos="288"/>
                <w:tab w:val="left" w:pos="576"/>
                <w:tab w:val="left" w:pos="864"/>
                <w:tab w:val="left" w:pos="1152"/>
              </w:tabs>
              <w:spacing w:before="40" w:after="40" w:line="210" w:lineRule="exact"/>
              <w:ind w:right="40"/>
              <w:rPr>
                <w:kern w:val="14"/>
                <w:sz w:val="17"/>
              </w:rPr>
            </w:pPr>
            <w:r w:rsidRPr="000E1D69">
              <w:rPr>
                <w:kern w:val="14"/>
                <w:sz w:val="17"/>
              </w:rPr>
              <w:tab/>
              <w:t>5.</w:t>
            </w:r>
            <w:r w:rsidRPr="000E1D69">
              <w:rPr>
                <w:kern w:val="14"/>
                <w:sz w:val="17"/>
              </w:rPr>
              <w:tab/>
              <w:t>Comunicaciones</w:t>
            </w:r>
          </w:p>
        </w:tc>
        <w:tc>
          <w:tcPr>
            <w:tcW w:w="900"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260,7</w:t>
            </w:r>
          </w:p>
        </w:tc>
        <w:tc>
          <w:tcPr>
            <w:tcW w:w="855"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260,7</w:t>
            </w:r>
          </w:p>
        </w:tc>
        <w:tc>
          <w:tcPr>
            <w:tcW w:w="945" w:type="dxa"/>
            <w:shd w:val="clear" w:color="auto" w:fill="auto"/>
            <w:vAlign w:val="bottom"/>
          </w:tcPr>
          <w:p w:rsidR="005B6A72" w:rsidRPr="000E1D69" w:rsidRDefault="0069186D" w:rsidP="0069186D">
            <w:pPr>
              <w:tabs>
                <w:tab w:val="decimal" w:pos="711"/>
              </w:tabs>
              <w:spacing w:before="40" w:after="40" w:line="210" w:lineRule="exact"/>
              <w:ind w:right="40"/>
              <w:rPr>
                <w:kern w:val="14"/>
                <w:sz w:val="17"/>
              </w:rPr>
            </w:pPr>
            <w:r w:rsidRPr="000E1D69">
              <w:rPr>
                <w:kern w:val="14"/>
                <w:sz w:val="17"/>
              </w:rPr>
              <w:t>–</w:t>
            </w:r>
          </w:p>
        </w:tc>
        <w:tc>
          <w:tcPr>
            <w:tcW w:w="927" w:type="dxa"/>
            <w:shd w:val="clear" w:color="auto" w:fill="auto"/>
            <w:vAlign w:val="bottom"/>
          </w:tcPr>
          <w:p w:rsidR="005B6A72" w:rsidRPr="000E1D69" w:rsidRDefault="005B6A72" w:rsidP="0069186D">
            <w:pPr>
              <w:tabs>
                <w:tab w:val="decimal" w:pos="702"/>
              </w:tabs>
              <w:spacing w:before="40" w:after="40" w:line="210" w:lineRule="exact"/>
              <w:ind w:right="40"/>
              <w:rPr>
                <w:kern w:val="14"/>
                <w:sz w:val="17"/>
              </w:rPr>
            </w:pPr>
            <w:r w:rsidRPr="000E1D69">
              <w:rPr>
                <w:kern w:val="14"/>
                <w:sz w:val="17"/>
              </w:rPr>
              <w:t>260,7</w:t>
            </w:r>
          </w:p>
        </w:tc>
        <w:tc>
          <w:tcPr>
            <w:tcW w:w="1080" w:type="dxa"/>
            <w:gridSpan w:val="2"/>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260,7</w:t>
            </w:r>
          </w:p>
        </w:tc>
        <w:tc>
          <w:tcPr>
            <w:tcW w:w="999" w:type="dxa"/>
            <w:shd w:val="clear" w:color="auto" w:fill="auto"/>
            <w:vAlign w:val="bottom"/>
          </w:tcPr>
          <w:p w:rsidR="005B6A72" w:rsidRPr="000E1D69" w:rsidRDefault="005B6A72" w:rsidP="0069186D">
            <w:pPr>
              <w:tabs>
                <w:tab w:val="decimal" w:pos="792"/>
              </w:tabs>
              <w:spacing w:before="40" w:after="40" w:line="210" w:lineRule="exact"/>
              <w:ind w:right="40"/>
              <w:rPr>
                <w:kern w:val="14"/>
                <w:sz w:val="17"/>
              </w:rPr>
            </w:pPr>
            <w:r w:rsidRPr="000E1D69">
              <w:rPr>
                <w:kern w:val="14"/>
                <w:sz w:val="17"/>
              </w:rPr>
              <w:t>44,0</w:t>
            </w:r>
          </w:p>
        </w:tc>
        <w:tc>
          <w:tcPr>
            <w:tcW w:w="1017" w:type="dxa"/>
            <w:shd w:val="clear" w:color="auto" w:fill="auto"/>
            <w:vAlign w:val="bottom"/>
          </w:tcPr>
          <w:p w:rsidR="005B6A72" w:rsidRPr="000E1D69" w:rsidRDefault="0069186D" w:rsidP="0069186D">
            <w:pPr>
              <w:tabs>
                <w:tab w:val="decimal" w:pos="765"/>
              </w:tabs>
              <w:spacing w:before="40" w:after="40" w:line="210" w:lineRule="exact"/>
              <w:ind w:right="40"/>
              <w:rPr>
                <w:kern w:val="14"/>
                <w:sz w:val="17"/>
              </w:rPr>
            </w:pPr>
            <w:r w:rsidRPr="000E1D69">
              <w:rPr>
                <w:kern w:val="14"/>
                <w:sz w:val="17"/>
              </w:rPr>
              <w:t>–</w:t>
            </w:r>
          </w:p>
        </w:tc>
        <w:tc>
          <w:tcPr>
            <w:tcW w:w="1026"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260,7</w:t>
            </w:r>
          </w:p>
        </w:tc>
      </w:tr>
      <w:tr w:rsidR="005B6A72" w:rsidRPr="000E1D69" w:rsidTr="00B54BE9">
        <w:tc>
          <w:tcPr>
            <w:tcW w:w="2097" w:type="dxa"/>
            <w:shd w:val="clear" w:color="auto" w:fill="auto"/>
          </w:tcPr>
          <w:p w:rsidR="005B6A72" w:rsidRPr="000E1D69" w:rsidRDefault="005B6A72" w:rsidP="00171500">
            <w:pPr>
              <w:tabs>
                <w:tab w:val="left" w:pos="288"/>
                <w:tab w:val="left" w:pos="576"/>
                <w:tab w:val="left" w:pos="864"/>
                <w:tab w:val="left" w:pos="1152"/>
              </w:tabs>
              <w:spacing w:before="40" w:after="40" w:line="210" w:lineRule="exact"/>
              <w:ind w:left="576" w:right="40" w:hanging="576"/>
              <w:rPr>
                <w:kern w:val="14"/>
                <w:sz w:val="17"/>
              </w:rPr>
            </w:pPr>
            <w:r w:rsidRPr="000E1D69">
              <w:rPr>
                <w:kern w:val="14"/>
                <w:sz w:val="17"/>
              </w:rPr>
              <w:tab/>
              <w:t>6.</w:t>
            </w:r>
            <w:r w:rsidRPr="000E1D69">
              <w:rPr>
                <w:kern w:val="14"/>
                <w:sz w:val="17"/>
              </w:rPr>
              <w:tab/>
              <w:t>Tecnología de la información</w:t>
            </w:r>
          </w:p>
        </w:tc>
        <w:tc>
          <w:tcPr>
            <w:tcW w:w="900"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169,3</w:t>
            </w:r>
          </w:p>
        </w:tc>
        <w:tc>
          <w:tcPr>
            <w:tcW w:w="855"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169,3</w:t>
            </w:r>
          </w:p>
        </w:tc>
        <w:tc>
          <w:tcPr>
            <w:tcW w:w="945" w:type="dxa"/>
            <w:shd w:val="clear" w:color="auto" w:fill="auto"/>
            <w:vAlign w:val="bottom"/>
          </w:tcPr>
          <w:p w:rsidR="005B6A72" w:rsidRPr="000E1D69" w:rsidRDefault="0069186D" w:rsidP="0069186D">
            <w:pPr>
              <w:tabs>
                <w:tab w:val="decimal" w:pos="711"/>
              </w:tabs>
              <w:spacing w:before="40" w:after="40" w:line="210" w:lineRule="exact"/>
              <w:ind w:right="40"/>
              <w:rPr>
                <w:kern w:val="14"/>
                <w:sz w:val="17"/>
              </w:rPr>
            </w:pPr>
            <w:r w:rsidRPr="000E1D69">
              <w:rPr>
                <w:kern w:val="14"/>
                <w:sz w:val="17"/>
              </w:rPr>
              <w:t>–</w:t>
            </w:r>
          </w:p>
        </w:tc>
        <w:tc>
          <w:tcPr>
            <w:tcW w:w="927" w:type="dxa"/>
            <w:shd w:val="clear" w:color="auto" w:fill="auto"/>
            <w:vAlign w:val="bottom"/>
          </w:tcPr>
          <w:p w:rsidR="005B6A72" w:rsidRPr="000E1D69" w:rsidRDefault="005B6A72" w:rsidP="0069186D">
            <w:pPr>
              <w:tabs>
                <w:tab w:val="decimal" w:pos="702"/>
              </w:tabs>
              <w:spacing w:before="40" w:after="40" w:line="210" w:lineRule="exact"/>
              <w:ind w:right="40"/>
              <w:rPr>
                <w:kern w:val="14"/>
                <w:sz w:val="17"/>
              </w:rPr>
            </w:pPr>
            <w:r w:rsidRPr="000E1D69">
              <w:rPr>
                <w:kern w:val="14"/>
                <w:sz w:val="17"/>
              </w:rPr>
              <w:t>169,3</w:t>
            </w:r>
          </w:p>
        </w:tc>
        <w:tc>
          <w:tcPr>
            <w:tcW w:w="1080" w:type="dxa"/>
            <w:gridSpan w:val="2"/>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375,9</w:t>
            </w:r>
          </w:p>
        </w:tc>
        <w:tc>
          <w:tcPr>
            <w:tcW w:w="999" w:type="dxa"/>
            <w:shd w:val="clear" w:color="auto" w:fill="auto"/>
            <w:vAlign w:val="bottom"/>
          </w:tcPr>
          <w:p w:rsidR="005B6A72" w:rsidRPr="000E1D69" w:rsidRDefault="005B6A72" w:rsidP="0069186D">
            <w:pPr>
              <w:tabs>
                <w:tab w:val="decimal" w:pos="792"/>
              </w:tabs>
              <w:spacing w:before="40" w:after="40" w:line="210" w:lineRule="exact"/>
              <w:ind w:right="40"/>
              <w:rPr>
                <w:kern w:val="14"/>
                <w:sz w:val="17"/>
              </w:rPr>
            </w:pPr>
            <w:r w:rsidRPr="000E1D69">
              <w:rPr>
                <w:kern w:val="14"/>
                <w:sz w:val="17"/>
              </w:rPr>
              <w:t>164,8</w:t>
            </w:r>
          </w:p>
        </w:tc>
        <w:tc>
          <w:tcPr>
            <w:tcW w:w="1017" w:type="dxa"/>
            <w:shd w:val="clear" w:color="auto" w:fill="auto"/>
            <w:vAlign w:val="bottom"/>
          </w:tcPr>
          <w:p w:rsidR="005B6A72" w:rsidRPr="000E1D69" w:rsidRDefault="005B6A72" w:rsidP="0069186D">
            <w:pPr>
              <w:tabs>
                <w:tab w:val="decimal" w:pos="765"/>
              </w:tabs>
              <w:spacing w:before="40" w:after="40" w:line="210" w:lineRule="exact"/>
              <w:ind w:right="40"/>
              <w:rPr>
                <w:kern w:val="14"/>
                <w:sz w:val="17"/>
              </w:rPr>
            </w:pPr>
            <w:r w:rsidRPr="000E1D69">
              <w:rPr>
                <w:kern w:val="14"/>
                <w:sz w:val="17"/>
              </w:rPr>
              <w:t>206,6</w:t>
            </w:r>
          </w:p>
        </w:tc>
        <w:tc>
          <w:tcPr>
            <w:tcW w:w="1026"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375,9</w:t>
            </w:r>
          </w:p>
        </w:tc>
      </w:tr>
      <w:tr w:rsidR="005B6A72" w:rsidRPr="000E1D69" w:rsidTr="00B54BE9">
        <w:tc>
          <w:tcPr>
            <w:tcW w:w="2097" w:type="dxa"/>
            <w:shd w:val="clear" w:color="auto" w:fill="auto"/>
          </w:tcPr>
          <w:p w:rsidR="005B6A72" w:rsidRPr="000E1D69" w:rsidRDefault="005B6A72" w:rsidP="00171500">
            <w:pPr>
              <w:tabs>
                <w:tab w:val="left" w:pos="288"/>
                <w:tab w:val="left" w:pos="576"/>
                <w:tab w:val="left" w:pos="864"/>
                <w:tab w:val="left" w:pos="1152"/>
              </w:tabs>
              <w:spacing w:before="40" w:after="40" w:line="210" w:lineRule="exact"/>
              <w:ind w:right="40"/>
              <w:rPr>
                <w:kern w:val="14"/>
                <w:sz w:val="17"/>
              </w:rPr>
            </w:pPr>
            <w:r w:rsidRPr="000E1D69">
              <w:rPr>
                <w:kern w:val="14"/>
                <w:sz w:val="17"/>
              </w:rPr>
              <w:tab/>
              <w:t>7.</w:t>
            </w:r>
            <w:r w:rsidRPr="000E1D69">
              <w:rPr>
                <w:kern w:val="14"/>
                <w:sz w:val="17"/>
              </w:rPr>
              <w:tab/>
              <w:t>Servicios médicos</w:t>
            </w:r>
          </w:p>
        </w:tc>
        <w:tc>
          <w:tcPr>
            <w:tcW w:w="900" w:type="dxa"/>
            <w:shd w:val="clear" w:color="auto" w:fill="auto"/>
            <w:vAlign w:val="bottom"/>
          </w:tcPr>
          <w:p w:rsidR="005B6A72" w:rsidRPr="000E1D69" w:rsidRDefault="0069186D"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w:t>
            </w:r>
          </w:p>
        </w:tc>
        <w:tc>
          <w:tcPr>
            <w:tcW w:w="855" w:type="dxa"/>
            <w:shd w:val="clear" w:color="auto" w:fill="auto"/>
            <w:vAlign w:val="bottom"/>
          </w:tcPr>
          <w:p w:rsidR="005B6A72" w:rsidRPr="000E1D69" w:rsidRDefault="0069186D"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w:t>
            </w:r>
          </w:p>
        </w:tc>
        <w:tc>
          <w:tcPr>
            <w:tcW w:w="945" w:type="dxa"/>
            <w:shd w:val="clear" w:color="auto" w:fill="auto"/>
            <w:vAlign w:val="bottom"/>
          </w:tcPr>
          <w:p w:rsidR="005B6A72" w:rsidRPr="000E1D69" w:rsidRDefault="0069186D" w:rsidP="0069186D">
            <w:pPr>
              <w:tabs>
                <w:tab w:val="decimal" w:pos="711"/>
              </w:tabs>
              <w:spacing w:before="40" w:after="40" w:line="210" w:lineRule="exact"/>
              <w:ind w:right="40"/>
              <w:rPr>
                <w:kern w:val="14"/>
                <w:sz w:val="17"/>
              </w:rPr>
            </w:pPr>
            <w:r w:rsidRPr="000E1D69">
              <w:rPr>
                <w:kern w:val="14"/>
                <w:sz w:val="17"/>
              </w:rPr>
              <w:t>–</w:t>
            </w:r>
          </w:p>
        </w:tc>
        <w:tc>
          <w:tcPr>
            <w:tcW w:w="927" w:type="dxa"/>
            <w:shd w:val="clear" w:color="auto" w:fill="auto"/>
            <w:vAlign w:val="bottom"/>
          </w:tcPr>
          <w:p w:rsidR="005B6A72" w:rsidRPr="000E1D69" w:rsidRDefault="0069186D" w:rsidP="0069186D">
            <w:pPr>
              <w:tabs>
                <w:tab w:val="decimal" w:pos="702"/>
              </w:tabs>
              <w:spacing w:before="40" w:after="40" w:line="210" w:lineRule="exact"/>
              <w:ind w:right="40"/>
              <w:rPr>
                <w:kern w:val="14"/>
                <w:sz w:val="17"/>
              </w:rPr>
            </w:pPr>
            <w:r w:rsidRPr="000E1D69">
              <w:rPr>
                <w:kern w:val="14"/>
                <w:sz w:val="17"/>
              </w:rPr>
              <w:t>–</w:t>
            </w:r>
          </w:p>
        </w:tc>
        <w:tc>
          <w:tcPr>
            <w:tcW w:w="1080" w:type="dxa"/>
            <w:gridSpan w:val="2"/>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40,2</w:t>
            </w:r>
          </w:p>
        </w:tc>
        <w:tc>
          <w:tcPr>
            <w:tcW w:w="999" w:type="dxa"/>
            <w:shd w:val="clear" w:color="auto" w:fill="auto"/>
            <w:vAlign w:val="bottom"/>
          </w:tcPr>
          <w:p w:rsidR="005B6A72" w:rsidRPr="000E1D69" w:rsidRDefault="0069186D" w:rsidP="0069186D">
            <w:pPr>
              <w:tabs>
                <w:tab w:val="decimal" w:pos="792"/>
              </w:tabs>
              <w:spacing w:before="40" w:after="40" w:line="210" w:lineRule="exact"/>
              <w:ind w:right="40"/>
              <w:rPr>
                <w:kern w:val="14"/>
                <w:sz w:val="17"/>
              </w:rPr>
            </w:pPr>
            <w:r w:rsidRPr="000E1D69">
              <w:rPr>
                <w:kern w:val="14"/>
                <w:sz w:val="17"/>
              </w:rPr>
              <w:t>–</w:t>
            </w:r>
          </w:p>
        </w:tc>
        <w:tc>
          <w:tcPr>
            <w:tcW w:w="1017" w:type="dxa"/>
            <w:shd w:val="clear" w:color="auto" w:fill="auto"/>
            <w:vAlign w:val="bottom"/>
          </w:tcPr>
          <w:p w:rsidR="005B6A72" w:rsidRPr="000E1D69" w:rsidRDefault="005B6A72" w:rsidP="0069186D">
            <w:pPr>
              <w:tabs>
                <w:tab w:val="decimal" w:pos="765"/>
              </w:tabs>
              <w:spacing w:before="40" w:after="40" w:line="210" w:lineRule="exact"/>
              <w:ind w:right="40"/>
              <w:rPr>
                <w:kern w:val="14"/>
                <w:sz w:val="17"/>
              </w:rPr>
            </w:pPr>
            <w:r w:rsidRPr="000E1D69">
              <w:rPr>
                <w:kern w:val="14"/>
                <w:sz w:val="17"/>
              </w:rPr>
              <w:t>40,2</w:t>
            </w:r>
          </w:p>
        </w:tc>
        <w:tc>
          <w:tcPr>
            <w:tcW w:w="1026" w:type="dxa"/>
            <w:shd w:val="clear" w:color="auto" w:fill="auto"/>
            <w:vAlign w:val="bottom"/>
          </w:tcPr>
          <w:p w:rsidR="005B6A72" w:rsidRPr="000E1D69" w:rsidRDefault="005B6A72" w:rsidP="005B6A72">
            <w:pPr>
              <w:tabs>
                <w:tab w:val="left" w:pos="288"/>
                <w:tab w:val="left" w:pos="576"/>
                <w:tab w:val="left" w:pos="864"/>
                <w:tab w:val="left" w:pos="1152"/>
              </w:tabs>
              <w:spacing w:before="40" w:after="40" w:line="210" w:lineRule="exact"/>
              <w:ind w:right="40"/>
              <w:jc w:val="right"/>
              <w:rPr>
                <w:kern w:val="14"/>
                <w:sz w:val="17"/>
              </w:rPr>
            </w:pPr>
            <w:r w:rsidRPr="000E1D69">
              <w:rPr>
                <w:kern w:val="14"/>
                <w:sz w:val="17"/>
              </w:rPr>
              <w:t>40,2</w:t>
            </w:r>
          </w:p>
        </w:tc>
      </w:tr>
      <w:tr w:rsidR="005B6A72" w:rsidRPr="000E1D69" w:rsidTr="0069186D">
        <w:tc>
          <w:tcPr>
            <w:tcW w:w="2097" w:type="dxa"/>
            <w:tcBorders>
              <w:bottom w:val="single" w:sz="4" w:space="0" w:color="auto"/>
            </w:tcBorders>
            <w:shd w:val="clear" w:color="auto" w:fill="auto"/>
          </w:tcPr>
          <w:p w:rsidR="005B6A72" w:rsidRPr="000E1D69" w:rsidRDefault="005B6A72" w:rsidP="00171500">
            <w:pPr>
              <w:tabs>
                <w:tab w:val="left" w:pos="288"/>
                <w:tab w:val="left" w:pos="576"/>
                <w:tab w:val="left" w:pos="864"/>
                <w:tab w:val="left" w:pos="1152"/>
              </w:tabs>
              <w:spacing w:before="40" w:after="81" w:line="210" w:lineRule="exact"/>
              <w:ind w:left="576" w:right="396" w:hanging="576"/>
              <w:rPr>
                <w:kern w:val="14"/>
                <w:sz w:val="17"/>
              </w:rPr>
            </w:pPr>
            <w:r w:rsidRPr="000E1D69">
              <w:rPr>
                <w:kern w:val="14"/>
                <w:sz w:val="17"/>
              </w:rPr>
              <w:tab/>
              <w:t>8.</w:t>
            </w:r>
            <w:r w:rsidRPr="000E1D69">
              <w:rPr>
                <w:kern w:val="14"/>
                <w:sz w:val="17"/>
              </w:rPr>
              <w:tab/>
              <w:t>Suministros, servicios y equipo de otro tipo</w:t>
            </w:r>
          </w:p>
        </w:tc>
        <w:tc>
          <w:tcPr>
            <w:tcW w:w="900" w:type="dxa"/>
            <w:tcBorders>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40" w:after="81" w:line="210" w:lineRule="exact"/>
              <w:ind w:right="40"/>
              <w:jc w:val="right"/>
              <w:rPr>
                <w:kern w:val="14"/>
                <w:sz w:val="17"/>
              </w:rPr>
            </w:pPr>
            <w:r w:rsidRPr="000E1D69">
              <w:rPr>
                <w:kern w:val="14"/>
                <w:sz w:val="17"/>
              </w:rPr>
              <w:t>153,9</w:t>
            </w:r>
          </w:p>
        </w:tc>
        <w:tc>
          <w:tcPr>
            <w:tcW w:w="855" w:type="dxa"/>
            <w:tcBorders>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40" w:after="81" w:line="210" w:lineRule="exact"/>
              <w:ind w:right="40"/>
              <w:jc w:val="right"/>
              <w:rPr>
                <w:kern w:val="14"/>
                <w:sz w:val="17"/>
              </w:rPr>
            </w:pPr>
            <w:r w:rsidRPr="000E1D69">
              <w:rPr>
                <w:kern w:val="14"/>
                <w:sz w:val="17"/>
              </w:rPr>
              <w:t>153,9</w:t>
            </w:r>
          </w:p>
        </w:tc>
        <w:tc>
          <w:tcPr>
            <w:tcW w:w="945" w:type="dxa"/>
            <w:tcBorders>
              <w:bottom w:val="single" w:sz="4" w:space="0" w:color="auto"/>
            </w:tcBorders>
            <w:shd w:val="clear" w:color="auto" w:fill="auto"/>
            <w:vAlign w:val="bottom"/>
          </w:tcPr>
          <w:p w:rsidR="005B6A72" w:rsidRPr="000E1D69" w:rsidRDefault="0069186D" w:rsidP="0069186D">
            <w:pPr>
              <w:tabs>
                <w:tab w:val="decimal" w:pos="711"/>
              </w:tabs>
              <w:spacing w:before="40" w:after="81" w:line="210" w:lineRule="exact"/>
              <w:ind w:right="40"/>
              <w:rPr>
                <w:kern w:val="14"/>
                <w:sz w:val="17"/>
              </w:rPr>
            </w:pPr>
            <w:r w:rsidRPr="000E1D69">
              <w:rPr>
                <w:kern w:val="14"/>
                <w:sz w:val="17"/>
              </w:rPr>
              <w:t>–</w:t>
            </w:r>
          </w:p>
        </w:tc>
        <w:tc>
          <w:tcPr>
            <w:tcW w:w="927" w:type="dxa"/>
            <w:tcBorders>
              <w:bottom w:val="single" w:sz="4" w:space="0" w:color="auto"/>
            </w:tcBorders>
            <w:shd w:val="clear" w:color="auto" w:fill="auto"/>
            <w:vAlign w:val="bottom"/>
          </w:tcPr>
          <w:p w:rsidR="005B6A72" w:rsidRPr="000E1D69" w:rsidRDefault="005B6A72" w:rsidP="0069186D">
            <w:pPr>
              <w:tabs>
                <w:tab w:val="decimal" w:pos="702"/>
              </w:tabs>
              <w:spacing w:before="40" w:after="81" w:line="210" w:lineRule="exact"/>
              <w:ind w:right="40"/>
              <w:rPr>
                <w:kern w:val="14"/>
                <w:sz w:val="17"/>
              </w:rPr>
            </w:pPr>
            <w:r w:rsidRPr="000E1D69">
              <w:rPr>
                <w:kern w:val="14"/>
                <w:sz w:val="17"/>
              </w:rPr>
              <w:t>153,9</w:t>
            </w:r>
          </w:p>
        </w:tc>
        <w:tc>
          <w:tcPr>
            <w:tcW w:w="1080" w:type="dxa"/>
            <w:gridSpan w:val="2"/>
            <w:tcBorders>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40" w:after="81" w:line="210" w:lineRule="exact"/>
              <w:ind w:right="40"/>
              <w:jc w:val="right"/>
              <w:rPr>
                <w:kern w:val="14"/>
                <w:sz w:val="17"/>
              </w:rPr>
            </w:pPr>
            <w:r w:rsidRPr="000E1D69">
              <w:rPr>
                <w:kern w:val="14"/>
                <w:sz w:val="17"/>
              </w:rPr>
              <w:t>635,9</w:t>
            </w:r>
          </w:p>
        </w:tc>
        <w:tc>
          <w:tcPr>
            <w:tcW w:w="999" w:type="dxa"/>
            <w:tcBorders>
              <w:bottom w:val="single" w:sz="4" w:space="0" w:color="auto"/>
            </w:tcBorders>
            <w:shd w:val="clear" w:color="auto" w:fill="auto"/>
            <w:vAlign w:val="bottom"/>
          </w:tcPr>
          <w:p w:rsidR="005B6A72" w:rsidRPr="000E1D69" w:rsidRDefault="0069186D" w:rsidP="0069186D">
            <w:pPr>
              <w:tabs>
                <w:tab w:val="decimal" w:pos="792"/>
              </w:tabs>
              <w:spacing w:before="40" w:after="81" w:line="210" w:lineRule="exact"/>
              <w:ind w:right="40"/>
              <w:rPr>
                <w:kern w:val="14"/>
                <w:sz w:val="17"/>
              </w:rPr>
            </w:pPr>
            <w:r w:rsidRPr="000E1D69">
              <w:rPr>
                <w:kern w:val="14"/>
                <w:sz w:val="17"/>
              </w:rPr>
              <w:t>–</w:t>
            </w:r>
          </w:p>
        </w:tc>
        <w:tc>
          <w:tcPr>
            <w:tcW w:w="1017" w:type="dxa"/>
            <w:tcBorders>
              <w:bottom w:val="single" w:sz="4" w:space="0" w:color="auto"/>
            </w:tcBorders>
            <w:shd w:val="clear" w:color="auto" w:fill="auto"/>
            <w:vAlign w:val="bottom"/>
          </w:tcPr>
          <w:p w:rsidR="005B6A72" w:rsidRPr="000E1D69" w:rsidRDefault="005B6A72" w:rsidP="0069186D">
            <w:pPr>
              <w:tabs>
                <w:tab w:val="decimal" w:pos="765"/>
              </w:tabs>
              <w:spacing w:before="40" w:after="81" w:line="210" w:lineRule="exact"/>
              <w:ind w:right="40"/>
              <w:rPr>
                <w:kern w:val="14"/>
                <w:sz w:val="17"/>
              </w:rPr>
            </w:pPr>
            <w:r w:rsidRPr="000E1D69">
              <w:rPr>
                <w:kern w:val="14"/>
                <w:sz w:val="17"/>
              </w:rPr>
              <w:t>482,0</w:t>
            </w:r>
          </w:p>
        </w:tc>
        <w:tc>
          <w:tcPr>
            <w:tcW w:w="1026" w:type="dxa"/>
            <w:tcBorders>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40" w:after="81" w:line="210" w:lineRule="exact"/>
              <w:ind w:right="40"/>
              <w:jc w:val="right"/>
              <w:rPr>
                <w:kern w:val="14"/>
                <w:sz w:val="17"/>
              </w:rPr>
            </w:pPr>
            <w:r w:rsidRPr="000E1D69">
              <w:rPr>
                <w:kern w:val="14"/>
                <w:sz w:val="17"/>
              </w:rPr>
              <w:t>635,9</w:t>
            </w:r>
          </w:p>
        </w:tc>
      </w:tr>
      <w:tr w:rsidR="0069186D" w:rsidRPr="000E1D69" w:rsidTr="0069186D">
        <w:tc>
          <w:tcPr>
            <w:tcW w:w="2097" w:type="dxa"/>
            <w:tcBorders>
              <w:top w:val="single" w:sz="4" w:space="0" w:color="auto"/>
              <w:bottom w:val="single" w:sz="4" w:space="0" w:color="auto"/>
            </w:tcBorders>
            <w:shd w:val="clear" w:color="auto" w:fill="auto"/>
            <w:vAlign w:val="bottom"/>
          </w:tcPr>
          <w:p w:rsidR="005B6A72" w:rsidRPr="000E1D69" w:rsidRDefault="005B6A72" w:rsidP="00171500">
            <w:pPr>
              <w:tabs>
                <w:tab w:val="left" w:pos="288"/>
                <w:tab w:val="left" w:pos="576"/>
                <w:tab w:val="left" w:pos="864"/>
                <w:tab w:val="left" w:pos="1152"/>
              </w:tabs>
              <w:spacing w:before="81" w:after="81" w:line="210" w:lineRule="exact"/>
              <w:rPr>
                <w:b/>
                <w:kern w:val="14"/>
                <w:sz w:val="17"/>
              </w:rPr>
            </w:pPr>
            <w:r w:rsidRPr="000E1D69">
              <w:rPr>
                <w:b/>
                <w:kern w:val="14"/>
                <w:sz w:val="17"/>
              </w:rPr>
              <w:tab/>
              <w:t>Total de la categoría II</w:t>
            </w:r>
          </w:p>
        </w:tc>
        <w:tc>
          <w:tcPr>
            <w:tcW w:w="900" w:type="dxa"/>
            <w:tcBorders>
              <w:top w:val="single" w:sz="4" w:space="0" w:color="auto"/>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81" w:line="210" w:lineRule="exact"/>
              <w:ind w:right="40"/>
              <w:jc w:val="right"/>
              <w:rPr>
                <w:b/>
                <w:kern w:val="14"/>
                <w:sz w:val="17"/>
              </w:rPr>
            </w:pPr>
            <w:r w:rsidRPr="000E1D69">
              <w:rPr>
                <w:b/>
                <w:kern w:val="14"/>
                <w:sz w:val="17"/>
              </w:rPr>
              <w:t>2 925,3</w:t>
            </w:r>
          </w:p>
        </w:tc>
        <w:tc>
          <w:tcPr>
            <w:tcW w:w="855" w:type="dxa"/>
            <w:tcBorders>
              <w:top w:val="single" w:sz="4" w:space="0" w:color="auto"/>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81" w:line="210" w:lineRule="exact"/>
              <w:ind w:right="40"/>
              <w:jc w:val="right"/>
              <w:rPr>
                <w:b/>
                <w:kern w:val="14"/>
                <w:sz w:val="17"/>
              </w:rPr>
            </w:pPr>
            <w:r w:rsidRPr="000E1D69">
              <w:rPr>
                <w:b/>
                <w:kern w:val="14"/>
                <w:sz w:val="17"/>
              </w:rPr>
              <w:t>3 436,0</w:t>
            </w:r>
          </w:p>
        </w:tc>
        <w:tc>
          <w:tcPr>
            <w:tcW w:w="945" w:type="dxa"/>
            <w:tcBorders>
              <w:top w:val="single" w:sz="4" w:space="0" w:color="auto"/>
              <w:bottom w:val="single" w:sz="4" w:space="0" w:color="auto"/>
            </w:tcBorders>
            <w:shd w:val="clear" w:color="auto" w:fill="auto"/>
            <w:vAlign w:val="bottom"/>
          </w:tcPr>
          <w:p w:rsidR="005B6A72" w:rsidRPr="000E1D69" w:rsidRDefault="005B6A72" w:rsidP="0069186D">
            <w:pPr>
              <w:tabs>
                <w:tab w:val="decimal" w:pos="711"/>
              </w:tabs>
              <w:spacing w:before="81" w:after="81" w:line="210" w:lineRule="exact"/>
              <w:ind w:right="40"/>
              <w:rPr>
                <w:b/>
                <w:kern w:val="14"/>
                <w:sz w:val="17"/>
              </w:rPr>
            </w:pPr>
            <w:r w:rsidRPr="000E1D69">
              <w:rPr>
                <w:b/>
                <w:kern w:val="14"/>
                <w:sz w:val="17"/>
              </w:rPr>
              <w:t>(510,7)</w:t>
            </w:r>
          </w:p>
        </w:tc>
        <w:tc>
          <w:tcPr>
            <w:tcW w:w="927" w:type="dxa"/>
            <w:tcBorders>
              <w:top w:val="single" w:sz="4" w:space="0" w:color="auto"/>
              <w:bottom w:val="single" w:sz="4" w:space="0" w:color="auto"/>
            </w:tcBorders>
            <w:shd w:val="clear" w:color="auto" w:fill="auto"/>
            <w:vAlign w:val="bottom"/>
          </w:tcPr>
          <w:p w:rsidR="005B6A72" w:rsidRPr="000E1D69" w:rsidRDefault="005B6A72" w:rsidP="0069186D">
            <w:pPr>
              <w:tabs>
                <w:tab w:val="decimal" w:pos="702"/>
              </w:tabs>
              <w:spacing w:before="81" w:after="81" w:line="210" w:lineRule="exact"/>
              <w:ind w:right="40"/>
              <w:rPr>
                <w:b/>
                <w:kern w:val="14"/>
                <w:sz w:val="17"/>
              </w:rPr>
            </w:pPr>
            <w:r w:rsidRPr="000E1D69">
              <w:rPr>
                <w:b/>
                <w:kern w:val="14"/>
                <w:sz w:val="17"/>
              </w:rPr>
              <w:t>2 925,3</w:t>
            </w:r>
          </w:p>
        </w:tc>
        <w:tc>
          <w:tcPr>
            <w:tcW w:w="1080" w:type="dxa"/>
            <w:gridSpan w:val="2"/>
            <w:tcBorders>
              <w:top w:val="single" w:sz="4" w:space="0" w:color="auto"/>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81" w:line="210" w:lineRule="exact"/>
              <w:ind w:right="40"/>
              <w:jc w:val="right"/>
              <w:rPr>
                <w:b/>
                <w:kern w:val="14"/>
                <w:sz w:val="17"/>
              </w:rPr>
            </w:pPr>
            <w:r w:rsidRPr="000E1D69">
              <w:rPr>
                <w:b/>
                <w:kern w:val="14"/>
                <w:sz w:val="17"/>
              </w:rPr>
              <w:t>6 574,4</w:t>
            </w:r>
          </w:p>
        </w:tc>
        <w:tc>
          <w:tcPr>
            <w:tcW w:w="999" w:type="dxa"/>
            <w:tcBorders>
              <w:top w:val="single" w:sz="4" w:space="0" w:color="auto"/>
              <w:bottom w:val="single" w:sz="4" w:space="0" w:color="auto"/>
            </w:tcBorders>
            <w:shd w:val="clear" w:color="auto" w:fill="auto"/>
            <w:vAlign w:val="bottom"/>
          </w:tcPr>
          <w:p w:rsidR="005B6A72" w:rsidRPr="000E1D69" w:rsidRDefault="005B6A72" w:rsidP="0069186D">
            <w:pPr>
              <w:tabs>
                <w:tab w:val="decimal" w:pos="792"/>
              </w:tabs>
              <w:spacing w:before="81" w:after="81" w:line="210" w:lineRule="exact"/>
              <w:ind w:right="40"/>
              <w:rPr>
                <w:b/>
                <w:kern w:val="14"/>
                <w:sz w:val="17"/>
              </w:rPr>
            </w:pPr>
            <w:r w:rsidRPr="000E1D69">
              <w:rPr>
                <w:b/>
                <w:kern w:val="14"/>
                <w:sz w:val="17"/>
              </w:rPr>
              <w:t>1 382,0</w:t>
            </w:r>
          </w:p>
        </w:tc>
        <w:tc>
          <w:tcPr>
            <w:tcW w:w="1017" w:type="dxa"/>
            <w:tcBorders>
              <w:top w:val="single" w:sz="4" w:space="0" w:color="auto"/>
              <w:bottom w:val="single" w:sz="4" w:space="0" w:color="auto"/>
            </w:tcBorders>
            <w:shd w:val="clear" w:color="auto" w:fill="auto"/>
            <w:vAlign w:val="bottom"/>
          </w:tcPr>
          <w:p w:rsidR="005B6A72" w:rsidRPr="000E1D69" w:rsidRDefault="005B6A72" w:rsidP="0069186D">
            <w:pPr>
              <w:tabs>
                <w:tab w:val="decimal" w:pos="765"/>
              </w:tabs>
              <w:spacing w:before="81" w:after="81" w:line="210" w:lineRule="exact"/>
              <w:ind w:right="40"/>
              <w:rPr>
                <w:b/>
                <w:kern w:val="14"/>
                <w:sz w:val="17"/>
              </w:rPr>
            </w:pPr>
            <w:r w:rsidRPr="000E1D69">
              <w:rPr>
                <w:b/>
                <w:kern w:val="14"/>
                <w:sz w:val="17"/>
              </w:rPr>
              <w:t>3 649,1</w:t>
            </w:r>
          </w:p>
        </w:tc>
        <w:tc>
          <w:tcPr>
            <w:tcW w:w="1026" w:type="dxa"/>
            <w:tcBorders>
              <w:top w:val="single" w:sz="4" w:space="0" w:color="auto"/>
              <w:bottom w:val="single" w:sz="4"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81" w:line="210" w:lineRule="exact"/>
              <w:ind w:right="40"/>
              <w:jc w:val="right"/>
              <w:rPr>
                <w:b/>
                <w:kern w:val="14"/>
                <w:sz w:val="17"/>
              </w:rPr>
            </w:pPr>
            <w:r w:rsidRPr="000E1D69">
              <w:rPr>
                <w:b/>
                <w:kern w:val="14"/>
                <w:sz w:val="17"/>
              </w:rPr>
              <w:t>7 085,1</w:t>
            </w:r>
          </w:p>
        </w:tc>
      </w:tr>
      <w:tr w:rsidR="005B6A72" w:rsidRPr="000E1D69" w:rsidTr="0069186D">
        <w:tc>
          <w:tcPr>
            <w:tcW w:w="2097" w:type="dxa"/>
            <w:tcBorders>
              <w:top w:val="single" w:sz="4" w:space="0" w:color="auto"/>
              <w:bottom w:val="single" w:sz="12" w:space="0" w:color="auto"/>
            </w:tcBorders>
            <w:shd w:val="clear" w:color="auto" w:fill="auto"/>
            <w:vAlign w:val="center"/>
          </w:tcPr>
          <w:p w:rsidR="005B6A72" w:rsidRPr="000E1D69" w:rsidRDefault="005B6A72" w:rsidP="00171500">
            <w:pPr>
              <w:tabs>
                <w:tab w:val="left" w:pos="288"/>
                <w:tab w:val="left" w:pos="576"/>
                <w:tab w:val="left" w:pos="864"/>
                <w:tab w:val="left" w:pos="1152"/>
              </w:tabs>
              <w:spacing w:before="81" w:after="81" w:line="210" w:lineRule="exact"/>
              <w:ind w:left="288" w:right="40" w:hanging="288"/>
              <w:rPr>
                <w:b/>
                <w:kern w:val="14"/>
                <w:sz w:val="17"/>
              </w:rPr>
            </w:pPr>
            <w:r w:rsidRPr="000E1D69">
              <w:rPr>
                <w:b/>
                <w:kern w:val="14"/>
                <w:sz w:val="17"/>
              </w:rPr>
              <w:tab/>
              <w:t xml:space="preserve">Total (deducidas las contribuciones del personal) </w:t>
            </w:r>
          </w:p>
        </w:tc>
        <w:tc>
          <w:tcPr>
            <w:tcW w:w="900" w:type="dxa"/>
            <w:tcBorders>
              <w:top w:val="single" w:sz="4" w:space="0" w:color="auto"/>
              <w:bottom w:val="single" w:sz="12"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81" w:line="210" w:lineRule="exact"/>
              <w:ind w:right="40"/>
              <w:jc w:val="right"/>
              <w:rPr>
                <w:b/>
                <w:kern w:val="14"/>
                <w:sz w:val="17"/>
              </w:rPr>
            </w:pPr>
            <w:r w:rsidRPr="000E1D69">
              <w:rPr>
                <w:b/>
                <w:kern w:val="14"/>
                <w:sz w:val="17"/>
              </w:rPr>
              <w:t xml:space="preserve"> 6 730,1</w:t>
            </w:r>
          </w:p>
        </w:tc>
        <w:tc>
          <w:tcPr>
            <w:tcW w:w="855" w:type="dxa"/>
            <w:tcBorders>
              <w:top w:val="single" w:sz="4" w:space="0" w:color="auto"/>
              <w:bottom w:val="single" w:sz="12"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81" w:line="210" w:lineRule="exact"/>
              <w:ind w:right="40"/>
              <w:jc w:val="right"/>
              <w:rPr>
                <w:b/>
                <w:kern w:val="14"/>
                <w:sz w:val="17"/>
              </w:rPr>
            </w:pPr>
            <w:r w:rsidRPr="000E1D69">
              <w:rPr>
                <w:b/>
                <w:kern w:val="14"/>
                <w:sz w:val="17"/>
              </w:rPr>
              <w:t>7 916,4</w:t>
            </w:r>
          </w:p>
        </w:tc>
        <w:tc>
          <w:tcPr>
            <w:tcW w:w="945" w:type="dxa"/>
            <w:tcBorders>
              <w:top w:val="single" w:sz="4" w:space="0" w:color="auto"/>
              <w:bottom w:val="single" w:sz="12" w:space="0" w:color="auto"/>
            </w:tcBorders>
            <w:shd w:val="clear" w:color="auto" w:fill="auto"/>
            <w:vAlign w:val="bottom"/>
          </w:tcPr>
          <w:p w:rsidR="005B6A72" w:rsidRPr="000E1D69" w:rsidRDefault="005B6A72" w:rsidP="0069186D">
            <w:pPr>
              <w:tabs>
                <w:tab w:val="decimal" w:pos="711"/>
              </w:tabs>
              <w:spacing w:before="81" w:after="81" w:line="210" w:lineRule="exact"/>
              <w:ind w:right="40"/>
              <w:rPr>
                <w:b/>
                <w:kern w:val="14"/>
                <w:sz w:val="17"/>
              </w:rPr>
            </w:pPr>
            <w:r w:rsidRPr="000E1D69">
              <w:rPr>
                <w:b/>
                <w:kern w:val="14"/>
                <w:sz w:val="17"/>
              </w:rPr>
              <w:t>(1 186,3)</w:t>
            </w:r>
          </w:p>
        </w:tc>
        <w:tc>
          <w:tcPr>
            <w:tcW w:w="927" w:type="dxa"/>
            <w:tcBorders>
              <w:top w:val="single" w:sz="4" w:space="0" w:color="auto"/>
              <w:bottom w:val="single" w:sz="12" w:space="0" w:color="auto"/>
            </w:tcBorders>
            <w:shd w:val="clear" w:color="auto" w:fill="auto"/>
            <w:vAlign w:val="bottom"/>
          </w:tcPr>
          <w:p w:rsidR="005B6A72" w:rsidRPr="000E1D69" w:rsidRDefault="005B6A72" w:rsidP="0069186D">
            <w:pPr>
              <w:tabs>
                <w:tab w:val="decimal" w:pos="702"/>
              </w:tabs>
              <w:spacing w:before="81" w:after="81" w:line="210" w:lineRule="exact"/>
              <w:ind w:right="40"/>
              <w:rPr>
                <w:b/>
                <w:kern w:val="14"/>
                <w:sz w:val="17"/>
              </w:rPr>
            </w:pPr>
            <w:r w:rsidRPr="000E1D69">
              <w:rPr>
                <w:b/>
                <w:kern w:val="14"/>
                <w:sz w:val="17"/>
              </w:rPr>
              <w:t xml:space="preserve"> 6 730,1</w:t>
            </w:r>
          </w:p>
        </w:tc>
        <w:tc>
          <w:tcPr>
            <w:tcW w:w="1080" w:type="dxa"/>
            <w:gridSpan w:val="2"/>
            <w:tcBorders>
              <w:top w:val="single" w:sz="4" w:space="0" w:color="auto"/>
              <w:bottom w:val="single" w:sz="12"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81" w:line="210" w:lineRule="exact"/>
              <w:ind w:right="40"/>
              <w:jc w:val="right"/>
              <w:rPr>
                <w:b/>
                <w:kern w:val="14"/>
                <w:sz w:val="17"/>
              </w:rPr>
            </w:pPr>
            <w:r w:rsidRPr="000E1D69">
              <w:rPr>
                <w:b/>
                <w:kern w:val="14"/>
                <w:sz w:val="17"/>
              </w:rPr>
              <w:t>15 487,3</w:t>
            </w:r>
          </w:p>
        </w:tc>
        <w:tc>
          <w:tcPr>
            <w:tcW w:w="999" w:type="dxa"/>
            <w:tcBorders>
              <w:top w:val="single" w:sz="4" w:space="0" w:color="auto"/>
              <w:bottom w:val="single" w:sz="12" w:space="0" w:color="auto"/>
            </w:tcBorders>
            <w:shd w:val="clear" w:color="auto" w:fill="auto"/>
            <w:vAlign w:val="bottom"/>
          </w:tcPr>
          <w:p w:rsidR="005B6A72" w:rsidRPr="000E1D69" w:rsidRDefault="005B6A72" w:rsidP="0069186D">
            <w:pPr>
              <w:tabs>
                <w:tab w:val="decimal" w:pos="792"/>
              </w:tabs>
              <w:spacing w:before="81" w:after="81" w:line="210" w:lineRule="exact"/>
              <w:ind w:right="40"/>
              <w:rPr>
                <w:b/>
                <w:kern w:val="14"/>
                <w:sz w:val="17"/>
              </w:rPr>
            </w:pPr>
            <w:r w:rsidRPr="000E1D69">
              <w:rPr>
                <w:b/>
                <w:kern w:val="14"/>
                <w:sz w:val="17"/>
              </w:rPr>
              <w:t>1 382,0</w:t>
            </w:r>
          </w:p>
        </w:tc>
        <w:tc>
          <w:tcPr>
            <w:tcW w:w="1017" w:type="dxa"/>
            <w:tcBorders>
              <w:top w:val="single" w:sz="4" w:space="0" w:color="auto"/>
              <w:bottom w:val="single" w:sz="12" w:space="0" w:color="auto"/>
            </w:tcBorders>
            <w:shd w:val="clear" w:color="auto" w:fill="auto"/>
            <w:vAlign w:val="bottom"/>
          </w:tcPr>
          <w:p w:rsidR="005B6A72" w:rsidRPr="000E1D69" w:rsidRDefault="005B6A72" w:rsidP="0069186D">
            <w:pPr>
              <w:tabs>
                <w:tab w:val="decimal" w:pos="765"/>
              </w:tabs>
              <w:spacing w:before="81" w:after="81" w:line="210" w:lineRule="exact"/>
              <w:ind w:right="40"/>
              <w:rPr>
                <w:b/>
                <w:kern w:val="14"/>
                <w:sz w:val="17"/>
              </w:rPr>
            </w:pPr>
            <w:r w:rsidRPr="000E1D69">
              <w:rPr>
                <w:b/>
                <w:kern w:val="14"/>
                <w:sz w:val="17"/>
              </w:rPr>
              <w:t>8 757,2</w:t>
            </w:r>
          </w:p>
        </w:tc>
        <w:tc>
          <w:tcPr>
            <w:tcW w:w="1026" w:type="dxa"/>
            <w:tcBorders>
              <w:top w:val="single" w:sz="4" w:space="0" w:color="auto"/>
              <w:bottom w:val="single" w:sz="12" w:space="0" w:color="auto"/>
            </w:tcBorders>
            <w:shd w:val="clear" w:color="auto" w:fill="auto"/>
            <w:vAlign w:val="bottom"/>
          </w:tcPr>
          <w:p w:rsidR="005B6A72" w:rsidRPr="000E1D69" w:rsidRDefault="005B6A72" w:rsidP="0069186D">
            <w:pPr>
              <w:tabs>
                <w:tab w:val="left" w:pos="288"/>
                <w:tab w:val="left" w:pos="576"/>
                <w:tab w:val="left" w:pos="864"/>
                <w:tab w:val="left" w:pos="1152"/>
              </w:tabs>
              <w:spacing w:before="81" w:after="81" w:line="210" w:lineRule="exact"/>
              <w:ind w:right="40"/>
              <w:jc w:val="right"/>
              <w:rPr>
                <w:b/>
                <w:kern w:val="14"/>
                <w:sz w:val="17"/>
              </w:rPr>
            </w:pPr>
            <w:r w:rsidRPr="000E1D69">
              <w:rPr>
                <w:b/>
                <w:kern w:val="14"/>
                <w:sz w:val="17"/>
              </w:rPr>
              <w:t>16 673,6</w:t>
            </w:r>
          </w:p>
        </w:tc>
      </w:tr>
    </w:tbl>
    <w:p w:rsidR="00053B04" w:rsidRPr="000E1D69" w:rsidRDefault="00053B04" w:rsidP="00B54BE9">
      <w:pPr>
        <w:pStyle w:val="SingleTxt"/>
        <w:spacing w:after="0" w:line="120" w:lineRule="exact"/>
        <w:rPr>
          <w:sz w:val="10"/>
        </w:rPr>
      </w:pPr>
    </w:p>
    <w:p w:rsidR="002036FD" w:rsidRPr="000E1D69" w:rsidRDefault="002036FD" w:rsidP="002036FD">
      <w:pPr>
        <w:pStyle w:val="FootnoteText"/>
        <w:tabs>
          <w:tab w:val="clear" w:pos="418"/>
          <w:tab w:val="right" w:pos="216"/>
          <w:tab w:val="left" w:pos="288"/>
          <w:tab w:val="right" w:pos="576"/>
          <w:tab w:val="left" w:pos="648"/>
        </w:tabs>
        <w:ind w:left="288" w:hanging="288"/>
      </w:pPr>
      <w:r w:rsidRPr="000E1D69">
        <w:tab/>
      </w:r>
      <w:r w:rsidRPr="000E1D69">
        <w:rPr>
          <w:i/>
          <w:vertAlign w:val="superscript"/>
        </w:rPr>
        <w:t>a</w:t>
      </w:r>
      <w:r w:rsidRPr="000E1D69">
        <w:tab/>
        <w:t>Necesidades en cifras netas después de tener en cuenta los gastos inferiores o superiores a los previstos para 2016.</w:t>
      </w:r>
    </w:p>
    <w:p w:rsidR="00B54BE9" w:rsidRPr="000E1D69" w:rsidRDefault="00B54BE9" w:rsidP="002036FD">
      <w:pPr>
        <w:pStyle w:val="SingleTxt"/>
        <w:spacing w:after="0" w:line="120" w:lineRule="exact"/>
        <w:rPr>
          <w:sz w:val="10"/>
        </w:rPr>
      </w:pPr>
    </w:p>
    <w:p w:rsidR="002036FD" w:rsidRPr="000E1D69" w:rsidRDefault="002036FD" w:rsidP="002036FD">
      <w:pPr>
        <w:pStyle w:val="SingleTxt"/>
        <w:spacing w:after="0" w:line="120" w:lineRule="exact"/>
        <w:rPr>
          <w:sz w:val="10"/>
        </w:rPr>
      </w:pPr>
    </w:p>
    <w:p w:rsidR="002036FD" w:rsidRPr="000E1D69" w:rsidRDefault="002036FD" w:rsidP="002036FD">
      <w:pPr>
        <w:pStyle w:val="SingleTxt"/>
        <w:spacing w:after="0" w:line="120" w:lineRule="exact"/>
        <w:rPr>
          <w:sz w:val="10"/>
        </w:rPr>
      </w:pPr>
    </w:p>
    <w:p w:rsidR="00983099" w:rsidRDefault="00171500" w:rsidP="0017150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tab/>
      </w:r>
      <w:r>
        <w:tab/>
        <w:t>Necesidades de personal para la Oficina del Enviado Especial</w:t>
      </w:r>
    </w:p>
    <w:p w:rsidR="00171500" w:rsidRPr="00171500" w:rsidRDefault="00171500" w:rsidP="00171500">
      <w:pPr>
        <w:pStyle w:val="SingleTxt"/>
        <w:spacing w:after="0" w:line="120" w:lineRule="exact"/>
        <w:rPr>
          <w:sz w:val="10"/>
        </w:rPr>
      </w:pPr>
    </w:p>
    <w:p w:rsidR="00983099" w:rsidRPr="000E1D69" w:rsidRDefault="00983099" w:rsidP="00983099">
      <w:pPr>
        <w:pStyle w:val="SingleTxt"/>
        <w:numPr>
          <w:ilvl w:val="0"/>
          <w:numId w:val="21"/>
        </w:numPr>
        <w:ind w:left="1267"/>
      </w:pPr>
      <w:r w:rsidRPr="000E1D69">
        <w:t>En el cuadro 3 que figura a continuación se presenta un desglose de las plazas aprobadas para 2016 y las propuestas para 2017.</w:t>
      </w:r>
    </w:p>
    <w:p w:rsidR="00983099" w:rsidRPr="000E1D69" w:rsidRDefault="00983099" w:rsidP="00983099">
      <w:pPr>
        <w:pStyle w:val="SingleTxt"/>
        <w:spacing w:after="0" w:line="120" w:lineRule="exact"/>
        <w:rPr>
          <w:sz w:val="10"/>
        </w:rPr>
      </w:pPr>
    </w:p>
    <w:p w:rsidR="00983099" w:rsidRPr="000E1D69" w:rsidRDefault="00983099" w:rsidP="009830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val="0"/>
        </w:rPr>
      </w:pPr>
      <w:r w:rsidRPr="000E1D69">
        <w:rPr>
          <w:b w:val="0"/>
        </w:rPr>
        <w:t xml:space="preserve">Cuadro 3 </w:t>
      </w:r>
    </w:p>
    <w:p w:rsidR="00983099" w:rsidRPr="000E1D69" w:rsidRDefault="00983099" w:rsidP="0098309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E1D69">
        <w:t>Plazas</w:t>
      </w:r>
    </w:p>
    <w:p w:rsidR="002036FD" w:rsidRPr="000E1D69" w:rsidRDefault="002036FD" w:rsidP="00983099">
      <w:pPr>
        <w:pStyle w:val="SingleTxt"/>
        <w:spacing w:after="0" w:line="120" w:lineRule="exact"/>
        <w:rPr>
          <w:sz w:val="10"/>
        </w:rPr>
      </w:pPr>
    </w:p>
    <w:p w:rsidR="00983099" w:rsidRPr="000E1D69" w:rsidRDefault="00983099" w:rsidP="001D1ECB">
      <w:pPr>
        <w:pStyle w:val="SingleTxt"/>
        <w:spacing w:after="0" w:line="120" w:lineRule="exact"/>
        <w:rPr>
          <w:sz w:val="10"/>
        </w:rPr>
      </w:pPr>
    </w:p>
    <w:tbl>
      <w:tblPr>
        <w:tblW w:w="9837" w:type="dxa"/>
        <w:tblLayout w:type="fixed"/>
        <w:tblCellMar>
          <w:left w:w="0" w:type="dxa"/>
          <w:right w:w="0" w:type="dxa"/>
        </w:tblCellMar>
        <w:tblLook w:val="0000" w:firstRow="0" w:lastRow="0" w:firstColumn="0" w:lastColumn="0" w:noHBand="0" w:noVBand="0"/>
      </w:tblPr>
      <w:tblGrid>
        <w:gridCol w:w="1278"/>
        <w:gridCol w:w="414"/>
        <w:gridCol w:w="405"/>
        <w:gridCol w:w="378"/>
        <w:gridCol w:w="333"/>
        <w:gridCol w:w="369"/>
        <w:gridCol w:w="414"/>
        <w:gridCol w:w="342"/>
        <w:gridCol w:w="360"/>
        <w:gridCol w:w="522"/>
        <w:gridCol w:w="792"/>
        <w:gridCol w:w="774"/>
        <w:gridCol w:w="639"/>
        <w:gridCol w:w="945"/>
        <w:gridCol w:w="612"/>
        <w:gridCol w:w="810"/>
        <w:gridCol w:w="450"/>
      </w:tblGrid>
      <w:tr w:rsidR="002D4150" w:rsidRPr="000E1D69" w:rsidTr="00395DCA">
        <w:trPr>
          <w:cantSplit/>
          <w:tblHeader/>
        </w:trPr>
        <w:tc>
          <w:tcPr>
            <w:tcW w:w="1278" w:type="dxa"/>
            <w:vMerge w:val="restart"/>
            <w:tcBorders>
              <w:top w:val="single" w:sz="4" w:space="0" w:color="auto"/>
            </w:tcBorders>
            <w:shd w:val="clear" w:color="auto" w:fill="auto"/>
            <w:vAlign w:val="bottom"/>
          </w:tcPr>
          <w:p w:rsidR="002D4150" w:rsidRPr="000E1D69" w:rsidRDefault="002D4150" w:rsidP="004D26EA">
            <w:pPr>
              <w:spacing w:before="80" w:after="80" w:line="160" w:lineRule="exact"/>
              <w:ind w:right="40"/>
              <w:rPr>
                <w:i/>
                <w:kern w:val="14"/>
                <w:sz w:val="14"/>
              </w:rPr>
            </w:pPr>
          </w:p>
        </w:tc>
        <w:tc>
          <w:tcPr>
            <w:tcW w:w="3015" w:type="dxa"/>
            <w:gridSpan w:val="8"/>
            <w:tcBorders>
              <w:top w:val="single" w:sz="4" w:space="0" w:color="auto"/>
              <w:bottom w:val="single" w:sz="4" w:space="0" w:color="auto"/>
            </w:tcBorders>
            <w:shd w:val="clear" w:color="auto" w:fill="auto"/>
            <w:vAlign w:val="bottom"/>
          </w:tcPr>
          <w:p w:rsidR="002D4150" w:rsidRPr="000E1D69" w:rsidRDefault="002D4150" w:rsidP="002D4150">
            <w:pPr>
              <w:spacing w:before="80" w:after="80" w:line="160" w:lineRule="exact"/>
              <w:ind w:right="113"/>
              <w:jc w:val="center"/>
              <w:rPr>
                <w:i/>
                <w:kern w:val="14"/>
                <w:sz w:val="14"/>
              </w:rPr>
            </w:pPr>
            <w:r w:rsidRPr="000E1D69">
              <w:rPr>
                <w:i/>
                <w:kern w:val="14"/>
                <w:sz w:val="14"/>
              </w:rPr>
              <w:t>Cuadro Orgánico y categorías superiores</w:t>
            </w:r>
          </w:p>
        </w:tc>
        <w:tc>
          <w:tcPr>
            <w:tcW w:w="522" w:type="dxa"/>
            <w:vMerge w:val="restart"/>
            <w:tcBorders>
              <w:top w:val="single" w:sz="4" w:space="0" w:color="auto"/>
            </w:tcBorders>
            <w:shd w:val="clear" w:color="auto" w:fill="auto"/>
            <w:vAlign w:val="bottom"/>
          </w:tcPr>
          <w:p w:rsidR="002D4150" w:rsidRPr="000E1D69" w:rsidRDefault="002D4150" w:rsidP="004D26EA">
            <w:pPr>
              <w:spacing w:before="80" w:after="80" w:line="160" w:lineRule="exact"/>
              <w:ind w:right="113"/>
              <w:jc w:val="right"/>
              <w:rPr>
                <w:b/>
                <w:kern w:val="14"/>
                <w:sz w:val="14"/>
              </w:rPr>
            </w:pPr>
            <w:r w:rsidRPr="000E1D69">
              <w:rPr>
                <w:b/>
                <w:kern w:val="14"/>
                <w:sz w:val="14"/>
              </w:rPr>
              <w:t>Sub-total</w:t>
            </w:r>
          </w:p>
        </w:tc>
        <w:tc>
          <w:tcPr>
            <w:tcW w:w="1566" w:type="dxa"/>
            <w:gridSpan w:val="2"/>
            <w:tcBorders>
              <w:top w:val="single" w:sz="4" w:space="0" w:color="auto"/>
              <w:bottom w:val="single" w:sz="4" w:space="0" w:color="auto"/>
            </w:tcBorders>
            <w:shd w:val="clear" w:color="auto" w:fill="auto"/>
            <w:vAlign w:val="bottom"/>
          </w:tcPr>
          <w:p w:rsidR="002D4150" w:rsidRPr="000E1D69" w:rsidRDefault="002D4150" w:rsidP="002D4150">
            <w:pPr>
              <w:spacing w:before="80" w:after="80" w:line="160" w:lineRule="exact"/>
              <w:ind w:right="113"/>
              <w:jc w:val="center"/>
              <w:rPr>
                <w:i/>
                <w:kern w:val="14"/>
                <w:sz w:val="14"/>
              </w:rPr>
            </w:pPr>
            <w:r w:rsidRPr="000E1D69">
              <w:rPr>
                <w:i/>
                <w:kern w:val="14"/>
                <w:sz w:val="14"/>
              </w:rPr>
              <w:t>Cuadro de Servicios Generales y cuadros conexos</w:t>
            </w:r>
          </w:p>
        </w:tc>
        <w:tc>
          <w:tcPr>
            <w:tcW w:w="639" w:type="dxa"/>
            <w:vMerge w:val="restart"/>
            <w:tcBorders>
              <w:top w:val="single" w:sz="4" w:space="0" w:color="auto"/>
            </w:tcBorders>
            <w:shd w:val="clear" w:color="auto" w:fill="auto"/>
            <w:vAlign w:val="bottom"/>
          </w:tcPr>
          <w:p w:rsidR="002D4150" w:rsidRPr="000E1D69" w:rsidRDefault="002D4150" w:rsidP="002D4150">
            <w:pPr>
              <w:spacing w:before="80" w:after="80" w:line="160" w:lineRule="exact"/>
              <w:ind w:right="43"/>
              <w:jc w:val="right"/>
              <w:rPr>
                <w:b/>
                <w:kern w:val="14"/>
                <w:sz w:val="14"/>
              </w:rPr>
            </w:pPr>
            <w:r w:rsidRPr="000E1D69">
              <w:rPr>
                <w:b/>
                <w:kern w:val="14"/>
                <w:sz w:val="14"/>
              </w:rPr>
              <w:t>Total de personal interna-cional</w:t>
            </w:r>
          </w:p>
        </w:tc>
        <w:tc>
          <w:tcPr>
            <w:tcW w:w="1557" w:type="dxa"/>
            <w:gridSpan w:val="2"/>
            <w:tcBorders>
              <w:top w:val="single" w:sz="4" w:space="0" w:color="auto"/>
              <w:bottom w:val="single" w:sz="4" w:space="0" w:color="auto"/>
            </w:tcBorders>
            <w:shd w:val="clear" w:color="auto" w:fill="auto"/>
            <w:vAlign w:val="bottom"/>
          </w:tcPr>
          <w:p w:rsidR="002D4150" w:rsidRPr="000E1D69" w:rsidRDefault="002D4150" w:rsidP="004D26EA">
            <w:pPr>
              <w:spacing w:before="80" w:after="80" w:line="160" w:lineRule="exact"/>
              <w:ind w:right="113"/>
              <w:jc w:val="right"/>
              <w:rPr>
                <w:i/>
                <w:kern w:val="14"/>
                <w:sz w:val="14"/>
              </w:rPr>
            </w:pPr>
            <w:r w:rsidRPr="000E1D69">
              <w:rPr>
                <w:i/>
                <w:kern w:val="14"/>
                <w:sz w:val="14"/>
              </w:rPr>
              <w:t>Personal nacional</w:t>
            </w:r>
          </w:p>
        </w:tc>
        <w:tc>
          <w:tcPr>
            <w:tcW w:w="810" w:type="dxa"/>
            <w:vMerge w:val="restart"/>
            <w:tcBorders>
              <w:top w:val="single" w:sz="4" w:space="0" w:color="auto"/>
            </w:tcBorders>
            <w:shd w:val="clear" w:color="auto" w:fill="auto"/>
            <w:vAlign w:val="bottom"/>
          </w:tcPr>
          <w:p w:rsidR="002D4150" w:rsidRPr="000E1D69" w:rsidRDefault="002D4150" w:rsidP="002D4150">
            <w:pPr>
              <w:spacing w:before="80" w:after="80" w:line="160" w:lineRule="exact"/>
              <w:ind w:right="43"/>
              <w:jc w:val="right"/>
              <w:rPr>
                <w:b/>
                <w:i/>
                <w:kern w:val="14"/>
                <w:sz w:val="14"/>
              </w:rPr>
            </w:pPr>
            <w:r w:rsidRPr="000E1D69">
              <w:rPr>
                <w:i/>
                <w:kern w:val="14"/>
                <w:sz w:val="14"/>
              </w:rPr>
              <w:t>Voluntarios de las Naciones Unidas</w:t>
            </w:r>
          </w:p>
        </w:tc>
        <w:tc>
          <w:tcPr>
            <w:tcW w:w="450" w:type="dxa"/>
            <w:vMerge w:val="restart"/>
            <w:tcBorders>
              <w:top w:val="single" w:sz="4" w:space="0" w:color="auto"/>
            </w:tcBorders>
            <w:shd w:val="clear" w:color="auto" w:fill="auto"/>
            <w:vAlign w:val="bottom"/>
          </w:tcPr>
          <w:p w:rsidR="002D4150" w:rsidRPr="000E1D69" w:rsidRDefault="002D4150" w:rsidP="002D4150">
            <w:pPr>
              <w:spacing w:before="80" w:after="80" w:line="160" w:lineRule="exact"/>
              <w:ind w:right="43"/>
              <w:jc w:val="right"/>
              <w:rPr>
                <w:b/>
                <w:i/>
                <w:kern w:val="14"/>
                <w:sz w:val="14"/>
              </w:rPr>
            </w:pPr>
            <w:r w:rsidRPr="000E1D69">
              <w:rPr>
                <w:b/>
                <w:kern w:val="14"/>
                <w:sz w:val="14"/>
              </w:rPr>
              <w:t>Total</w:t>
            </w:r>
          </w:p>
        </w:tc>
      </w:tr>
      <w:tr w:rsidR="002D4150" w:rsidRPr="000E1D69" w:rsidTr="00395DCA">
        <w:trPr>
          <w:tblHeader/>
        </w:trPr>
        <w:tc>
          <w:tcPr>
            <w:tcW w:w="1278" w:type="dxa"/>
            <w:vMerge/>
            <w:tcBorders>
              <w:bottom w:val="single" w:sz="12" w:space="0" w:color="auto"/>
            </w:tcBorders>
            <w:shd w:val="clear" w:color="auto" w:fill="auto"/>
            <w:vAlign w:val="bottom"/>
          </w:tcPr>
          <w:p w:rsidR="002D4150" w:rsidRPr="000E1D69" w:rsidRDefault="002D4150" w:rsidP="004D26EA">
            <w:pPr>
              <w:spacing w:before="80" w:after="80" w:line="160" w:lineRule="exact"/>
              <w:ind w:right="40"/>
              <w:rPr>
                <w:i/>
                <w:kern w:val="14"/>
                <w:sz w:val="14"/>
              </w:rPr>
            </w:pPr>
          </w:p>
        </w:tc>
        <w:tc>
          <w:tcPr>
            <w:tcW w:w="414" w:type="dxa"/>
            <w:tcBorders>
              <w:top w:val="single" w:sz="4" w:space="0" w:color="auto"/>
              <w:bottom w:val="single" w:sz="12" w:space="0" w:color="auto"/>
            </w:tcBorders>
            <w:shd w:val="clear" w:color="auto" w:fill="auto"/>
            <w:vAlign w:val="bottom"/>
          </w:tcPr>
          <w:p w:rsidR="002D4150" w:rsidRPr="000E1D69" w:rsidRDefault="002D4150" w:rsidP="002D4150">
            <w:pPr>
              <w:spacing w:before="80" w:after="80" w:line="160" w:lineRule="exact"/>
              <w:ind w:right="43"/>
              <w:jc w:val="right"/>
              <w:rPr>
                <w:i/>
                <w:kern w:val="14"/>
                <w:sz w:val="14"/>
              </w:rPr>
            </w:pPr>
            <w:r w:rsidRPr="000E1D69">
              <w:rPr>
                <w:i/>
                <w:kern w:val="14"/>
                <w:sz w:val="14"/>
              </w:rPr>
              <w:t>SGA</w:t>
            </w:r>
          </w:p>
        </w:tc>
        <w:tc>
          <w:tcPr>
            <w:tcW w:w="405" w:type="dxa"/>
            <w:tcBorders>
              <w:top w:val="single" w:sz="4" w:space="0" w:color="auto"/>
              <w:bottom w:val="single" w:sz="12" w:space="0" w:color="auto"/>
            </w:tcBorders>
            <w:shd w:val="clear" w:color="auto" w:fill="auto"/>
            <w:vAlign w:val="bottom"/>
          </w:tcPr>
          <w:p w:rsidR="002D4150" w:rsidRPr="000E1D69" w:rsidRDefault="002D4150" w:rsidP="002D4150">
            <w:pPr>
              <w:spacing w:before="80" w:after="80" w:line="160" w:lineRule="exact"/>
              <w:ind w:right="43"/>
              <w:jc w:val="right"/>
              <w:rPr>
                <w:i/>
                <w:kern w:val="14"/>
                <w:sz w:val="14"/>
              </w:rPr>
            </w:pPr>
            <w:r w:rsidRPr="000E1D69">
              <w:rPr>
                <w:i/>
                <w:kern w:val="14"/>
                <w:sz w:val="14"/>
              </w:rPr>
              <w:t>SSG</w:t>
            </w:r>
          </w:p>
        </w:tc>
        <w:tc>
          <w:tcPr>
            <w:tcW w:w="378" w:type="dxa"/>
            <w:tcBorders>
              <w:top w:val="single" w:sz="4" w:space="0" w:color="auto"/>
              <w:bottom w:val="single" w:sz="12" w:space="0" w:color="auto"/>
            </w:tcBorders>
            <w:shd w:val="clear" w:color="auto" w:fill="auto"/>
            <w:vAlign w:val="bottom"/>
          </w:tcPr>
          <w:p w:rsidR="002D4150" w:rsidRPr="000E1D69" w:rsidRDefault="002D4150" w:rsidP="002D4150">
            <w:pPr>
              <w:spacing w:before="80" w:after="80" w:line="160" w:lineRule="exact"/>
              <w:ind w:right="43"/>
              <w:jc w:val="right"/>
              <w:rPr>
                <w:i/>
                <w:kern w:val="14"/>
                <w:sz w:val="14"/>
              </w:rPr>
            </w:pPr>
            <w:r w:rsidRPr="000E1D69">
              <w:rPr>
                <w:i/>
                <w:kern w:val="14"/>
                <w:sz w:val="14"/>
              </w:rPr>
              <w:t>D-2</w:t>
            </w:r>
          </w:p>
        </w:tc>
        <w:tc>
          <w:tcPr>
            <w:tcW w:w="333" w:type="dxa"/>
            <w:tcBorders>
              <w:top w:val="single" w:sz="4" w:space="0" w:color="auto"/>
              <w:bottom w:val="single" w:sz="12" w:space="0" w:color="auto"/>
            </w:tcBorders>
            <w:shd w:val="clear" w:color="auto" w:fill="auto"/>
            <w:vAlign w:val="bottom"/>
          </w:tcPr>
          <w:p w:rsidR="002D4150" w:rsidRPr="000E1D69" w:rsidRDefault="002D4150" w:rsidP="002D4150">
            <w:pPr>
              <w:spacing w:before="80" w:after="80" w:line="160" w:lineRule="exact"/>
              <w:ind w:right="43"/>
              <w:jc w:val="right"/>
              <w:rPr>
                <w:i/>
                <w:kern w:val="14"/>
                <w:sz w:val="14"/>
              </w:rPr>
            </w:pPr>
            <w:r w:rsidRPr="000E1D69">
              <w:rPr>
                <w:i/>
                <w:kern w:val="14"/>
                <w:sz w:val="14"/>
              </w:rPr>
              <w:t>D-1</w:t>
            </w:r>
          </w:p>
        </w:tc>
        <w:tc>
          <w:tcPr>
            <w:tcW w:w="369" w:type="dxa"/>
            <w:tcBorders>
              <w:top w:val="single" w:sz="4" w:space="0" w:color="auto"/>
              <w:bottom w:val="single" w:sz="12" w:space="0" w:color="auto"/>
            </w:tcBorders>
            <w:shd w:val="clear" w:color="auto" w:fill="auto"/>
            <w:vAlign w:val="bottom"/>
          </w:tcPr>
          <w:p w:rsidR="002D4150" w:rsidRPr="000E1D69" w:rsidRDefault="002D4150" w:rsidP="002D4150">
            <w:pPr>
              <w:spacing w:before="80" w:after="80" w:line="160" w:lineRule="exact"/>
              <w:ind w:right="43"/>
              <w:jc w:val="right"/>
              <w:rPr>
                <w:i/>
                <w:kern w:val="14"/>
                <w:sz w:val="14"/>
              </w:rPr>
            </w:pPr>
            <w:r w:rsidRPr="000E1D69">
              <w:rPr>
                <w:i/>
                <w:kern w:val="14"/>
                <w:sz w:val="14"/>
              </w:rPr>
              <w:t>P-5</w:t>
            </w:r>
          </w:p>
        </w:tc>
        <w:tc>
          <w:tcPr>
            <w:tcW w:w="414" w:type="dxa"/>
            <w:tcBorders>
              <w:top w:val="single" w:sz="4" w:space="0" w:color="auto"/>
              <w:bottom w:val="single" w:sz="12" w:space="0" w:color="auto"/>
            </w:tcBorders>
            <w:shd w:val="clear" w:color="auto" w:fill="auto"/>
            <w:vAlign w:val="bottom"/>
          </w:tcPr>
          <w:p w:rsidR="002D4150" w:rsidRPr="000E1D69" w:rsidRDefault="002D4150" w:rsidP="002D4150">
            <w:pPr>
              <w:spacing w:before="80" w:after="80" w:line="160" w:lineRule="exact"/>
              <w:ind w:right="43"/>
              <w:jc w:val="right"/>
              <w:rPr>
                <w:i/>
                <w:kern w:val="14"/>
                <w:sz w:val="14"/>
              </w:rPr>
            </w:pPr>
            <w:r w:rsidRPr="000E1D69">
              <w:rPr>
                <w:i/>
                <w:kern w:val="14"/>
                <w:sz w:val="14"/>
              </w:rPr>
              <w:t>P-4</w:t>
            </w:r>
          </w:p>
        </w:tc>
        <w:tc>
          <w:tcPr>
            <w:tcW w:w="342" w:type="dxa"/>
            <w:tcBorders>
              <w:top w:val="single" w:sz="4" w:space="0" w:color="auto"/>
              <w:bottom w:val="single" w:sz="12" w:space="0" w:color="auto"/>
            </w:tcBorders>
            <w:shd w:val="clear" w:color="auto" w:fill="auto"/>
            <w:vAlign w:val="bottom"/>
          </w:tcPr>
          <w:p w:rsidR="002D4150" w:rsidRPr="000E1D69" w:rsidRDefault="002D4150" w:rsidP="002D4150">
            <w:pPr>
              <w:spacing w:before="80" w:after="80" w:line="160" w:lineRule="exact"/>
              <w:ind w:right="43"/>
              <w:jc w:val="right"/>
              <w:rPr>
                <w:i/>
                <w:kern w:val="14"/>
                <w:sz w:val="14"/>
              </w:rPr>
            </w:pPr>
            <w:r w:rsidRPr="000E1D69">
              <w:rPr>
                <w:i/>
                <w:kern w:val="14"/>
                <w:sz w:val="14"/>
              </w:rPr>
              <w:t>P-3</w:t>
            </w:r>
          </w:p>
        </w:tc>
        <w:tc>
          <w:tcPr>
            <w:tcW w:w="360" w:type="dxa"/>
            <w:tcBorders>
              <w:top w:val="single" w:sz="4" w:space="0" w:color="auto"/>
              <w:bottom w:val="single" w:sz="12" w:space="0" w:color="auto"/>
            </w:tcBorders>
            <w:shd w:val="clear" w:color="auto" w:fill="auto"/>
            <w:vAlign w:val="bottom"/>
          </w:tcPr>
          <w:p w:rsidR="002D4150" w:rsidRPr="000E1D69" w:rsidRDefault="002D4150" w:rsidP="002D4150">
            <w:pPr>
              <w:spacing w:before="80" w:after="80" w:line="160" w:lineRule="exact"/>
              <w:ind w:right="43"/>
              <w:jc w:val="right"/>
              <w:rPr>
                <w:i/>
                <w:kern w:val="14"/>
                <w:sz w:val="14"/>
              </w:rPr>
            </w:pPr>
            <w:r w:rsidRPr="000E1D69">
              <w:rPr>
                <w:i/>
                <w:kern w:val="14"/>
                <w:sz w:val="14"/>
              </w:rPr>
              <w:t>P-2</w:t>
            </w:r>
          </w:p>
        </w:tc>
        <w:tc>
          <w:tcPr>
            <w:tcW w:w="522" w:type="dxa"/>
            <w:vMerge/>
            <w:tcBorders>
              <w:bottom w:val="single" w:sz="12" w:space="0" w:color="auto"/>
            </w:tcBorders>
            <w:shd w:val="clear" w:color="auto" w:fill="auto"/>
            <w:vAlign w:val="bottom"/>
          </w:tcPr>
          <w:p w:rsidR="002D4150" w:rsidRPr="000E1D69" w:rsidRDefault="002D4150" w:rsidP="002D4150">
            <w:pPr>
              <w:spacing w:before="80" w:after="80" w:line="160" w:lineRule="exact"/>
              <w:ind w:right="43"/>
              <w:jc w:val="right"/>
              <w:rPr>
                <w:b/>
                <w:i/>
                <w:kern w:val="14"/>
                <w:sz w:val="14"/>
              </w:rPr>
            </w:pPr>
          </w:p>
        </w:tc>
        <w:tc>
          <w:tcPr>
            <w:tcW w:w="792" w:type="dxa"/>
            <w:tcBorders>
              <w:top w:val="single" w:sz="4" w:space="0" w:color="auto"/>
              <w:bottom w:val="single" w:sz="12" w:space="0" w:color="auto"/>
            </w:tcBorders>
            <w:shd w:val="clear" w:color="auto" w:fill="auto"/>
            <w:vAlign w:val="bottom"/>
          </w:tcPr>
          <w:p w:rsidR="002D4150" w:rsidRPr="000E1D69" w:rsidRDefault="002D4150" w:rsidP="002D4150">
            <w:pPr>
              <w:spacing w:before="80" w:after="80" w:line="160" w:lineRule="exact"/>
              <w:ind w:right="43"/>
              <w:jc w:val="right"/>
              <w:rPr>
                <w:i/>
                <w:kern w:val="14"/>
                <w:sz w:val="14"/>
              </w:rPr>
            </w:pPr>
            <w:r w:rsidRPr="000E1D69">
              <w:rPr>
                <w:i/>
                <w:kern w:val="14"/>
                <w:sz w:val="14"/>
              </w:rPr>
              <w:t xml:space="preserve">Servicio </w:t>
            </w:r>
            <w:r w:rsidRPr="000E1D69">
              <w:rPr>
                <w:i/>
                <w:kern w:val="14"/>
                <w:sz w:val="14"/>
              </w:rPr>
              <w:br/>
              <w:t>Móvil/</w:t>
            </w:r>
            <w:r w:rsidRPr="000E1D69">
              <w:rPr>
                <w:i/>
                <w:kern w:val="14"/>
                <w:sz w:val="14"/>
              </w:rPr>
              <w:br/>
              <w:t>Servicio de Seguridad</w:t>
            </w:r>
          </w:p>
        </w:tc>
        <w:tc>
          <w:tcPr>
            <w:tcW w:w="774" w:type="dxa"/>
            <w:tcBorders>
              <w:top w:val="single" w:sz="4" w:space="0" w:color="auto"/>
              <w:bottom w:val="single" w:sz="12" w:space="0" w:color="auto"/>
            </w:tcBorders>
            <w:shd w:val="clear" w:color="auto" w:fill="auto"/>
            <w:vAlign w:val="bottom"/>
          </w:tcPr>
          <w:p w:rsidR="002D4150" w:rsidRPr="000E1D69" w:rsidRDefault="002D4150" w:rsidP="002D4150">
            <w:pPr>
              <w:spacing w:before="80" w:after="80" w:line="160" w:lineRule="exact"/>
              <w:ind w:right="43"/>
              <w:jc w:val="right"/>
              <w:rPr>
                <w:i/>
                <w:kern w:val="14"/>
                <w:sz w:val="14"/>
              </w:rPr>
            </w:pPr>
            <w:r w:rsidRPr="000E1D69">
              <w:rPr>
                <w:i/>
                <w:kern w:val="14"/>
                <w:sz w:val="14"/>
              </w:rPr>
              <w:t>Cuadro de Servicios Generales</w:t>
            </w:r>
          </w:p>
        </w:tc>
        <w:tc>
          <w:tcPr>
            <w:tcW w:w="639" w:type="dxa"/>
            <w:vMerge/>
            <w:tcBorders>
              <w:bottom w:val="single" w:sz="12" w:space="0" w:color="auto"/>
            </w:tcBorders>
            <w:shd w:val="clear" w:color="auto" w:fill="auto"/>
            <w:vAlign w:val="bottom"/>
          </w:tcPr>
          <w:p w:rsidR="002D4150" w:rsidRPr="000E1D69" w:rsidRDefault="002D4150" w:rsidP="002D4150">
            <w:pPr>
              <w:spacing w:before="80" w:after="80" w:line="160" w:lineRule="exact"/>
              <w:ind w:right="43"/>
              <w:jc w:val="right"/>
              <w:rPr>
                <w:b/>
                <w:kern w:val="14"/>
                <w:sz w:val="14"/>
              </w:rPr>
            </w:pPr>
          </w:p>
        </w:tc>
        <w:tc>
          <w:tcPr>
            <w:tcW w:w="945" w:type="dxa"/>
            <w:tcBorders>
              <w:top w:val="single" w:sz="4" w:space="0" w:color="auto"/>
              <w:bottom w:val="single" w:sz="12" w:space="0" w:color="auto"/>
            </w:tcBorders>
            <w:shd w:val="clear" w:color="auto" w:fill="auto"/>
            <w:vAlign w:val="bottom"/>
          </w:tcPr>
          <w:p w:rsidR="002D4150" w:rsidRPr="000E1D69" w:rsidRDefault="002D4150" w:rsidP="002D4150">
            <w:pPr>
              <w:spacing w:before="80" w:after="80" w:line="160" w:lineRule="exact"/>
              <w:ind w:right="43"/>
              <w:jc w:val="right"/>
              <w:rPr>
                <w:i/>
                <w:kern w:val="14"/>
                <w:sz w:val="14"/>
              </w:rPr>
            </w:pPr>
            <w:r w:rsidRPr="000E1D69">
              <w:rPr>
                <w:i/>
                <w:kern w:val="14"/>
                <w:sz w:val="14"/>
              </w:rPr>
              <w:t xml:space="preserve">Funcionarios nacionales </w:t>
            </w:r>
            <w:r w:rsidRPr="000E1D69">
              <w:rPr>
                <w:i/>
                <w:kern w:val="14"/>
                <w:sz w:val="14"/>
              </w:rPr>
              <w:br/>
              <w:t xml:space="preserve">del Cuadro Orgánico </w:t>
            </w:r>
          </w:p>
        </w:tc>
        <w:tc>
          <w:tcPr>
            <w:tcW w:w="612" w:type="dxa"/>
            <w:tcBorders>
              <w:top w:val="single" w:sz="4" w:space="0" w:color="auto"/>
              <w:bottom w:val="single" w:sz="12" w:space="0" w:color="auto"/>
            </w:tcBorders>
            <w:shd w:val="clear" w:color="auto" w:fill="auto"/>
            <w:vAlign w:val="bottom"/>
          </w:tcPr>
          <w:p w:rsidR="002D4150" w:rsidRPr="000E1D69" w:rsidRDefault="002D4150" w:rsidP="002D4150">
            <w:pPr>
              <w:spacing w:before="80" w:after="80" w:line="160" w:lineRule="exact"/>
              <w:ind w:right="43"/>
              <w:jc w:val="right"/>
              <w:rPr>
                <w:i/>
                <w:kern w:val="14"/>
                <w:sz w:val="14"/>
              </w:rPr>
            </w:pPr>
            <w:r w:rsidRPr="000E1D69">
              <w:rPr>
                <w:i/>
                <w:kern w:val="14"/>
                <w:sz w:val="14"/>
              </w:rPr>
              <w:t>Contra-tación local</w:t>
            </w:r>
          </w:p>
        </w:tc>
        <w:tc>
          <w:tcPr>
            <w:tcW w:w="810" w:type="dxa"/>
            <w:vMerge/>
            <w:tcBorders>
              <w:bottom w:val="single" w:sz="12" w:space="0" w:color="auto"/>
            </w:tcBorders>
            <w:shd w:val="clear" w:color="auto" w:fill="auto"/>
            <w:vAlign w:val="bottom"/>
          </w:tcPr>
          <w:p w:rsidR="002D4150" w:rsidRPr="000E1D69" w:rsidRDefault="002D4150" w:rsidP="002D4150">
            <w:pPr>
              <w:spacing w:before="80" w:after="80" w:line="160" w:lineRule="exact"/>
              <w:ind w:right="43"/>
              <w:jc w:val="right"/>
              <w:rPr>
                <w:i/>
                <w:kern w:val="14"/>
                <w:sz w:val="14"/>
              </w:rPr>
            </w:pPr>
          </w:p>
        </w:tc>
        <w:tc>
          <w:tcPr>
            <w:tcW w:w="450" w:type="dxa"/>
            <w:vMerge/>
            <w:tcBorders>
              <w:bottom w:val="single" w:sz="12" w:space="0" w:color="auto"/>
            </w:tcBorders>
            <w:shd w:val="clear" w:color="auto" w:fill="auto"/>
            <w:vAlign w:val="bottom"/>
          </w:tcPr>
          <w:p w:rsidR="002D4150" w:rsidRPr="000E1D69" w:rsidRDefault="002D4150" w:rsidP="002D4150">
            <w:pPr>
              <w:spacing w:before="80" w:after="80" w:line="160" w:lineRule="exact"/>
              <w:ind w:right="43"/>
              <w:jc w:val="right"/>
              <w:rPr>
                <w:b/>
                <w:kern w:val="14"/>
                <w:sz w:val="14"/>
              </w:rPr>
            </w:pPr>
          </w:p>
        </w:tc>
      </w:tr>
      <w:tr w:rsidR="00395DCA" w:rsidRPr="000E1D69" w:rsidTr="00395DCA">
        <w:trPr>
          <w:trHeight w:hRule="exact" w:val="115"/>
          <w:tblHeader/>
        </w:trPr>
        <w:tc>
          <w:tcPr>
            <w:tcW w:w="1278" w:type="dxa"/>
            <w:tcBorders>
              <w:top w:val="single" w:sz="12" w:space="0" w:color="auto"/>
            </w:tcBorders>
            <w:shd w:val="clear" w:color="auto" w:fill="auto"/>
            <w:vAlign w:val="bottom"/>
          </w:tcPr>
          <w:p w:rsidR="001D1ECB" w:rsidRPr="000E1D69" w:rsidRDefault="001D1ECB" w:rsidP="004D26EA">
            <w:pPr>
              <w:tabs>
                <w:tab w:val="left" w:pos="288"/>
                <w:tab w:val="left" w:pos="576"/>
                <w:tab w:val="left" w:pos="864"/>
                <w:tab w:val="left" w:pos="1152"/>
              </w:tabs>
              <w:spacing w:before="40" w:after="40" w:line="210" w:lineRule="exact"/>
              <w:ind w:right="40"/>
              <w:rPr>
                <w:kern w:val="14"/>
                <w:sz w:val="17"/>
              </w:rPr>
            </w:pPr>
          </w:p>
        </w:tc>
        <w:tc>
          <w:tcPr>
            <w:tcW w:w="414" w:type="dxa"/>
            <w:tcBorders>
              <w:top w:val="single" w:sz="12" w:space="0" w:color="auto"/>
            </w:tcBorders>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kern w:val="14"/>
                <w:sz w:val="17"/>
                <w:szCs w:val="17"/>
              </w:rPr>
            </w:pPr>
          </w:p>
        </w:tc>
        <w:tc>
          <w:tcPr>
            <w:tcW w:w="405" w:type="dxa"/>
            <w:tcBorders>
              <w:top w:val="single" w:sz="12" w:space="0" w:color="auto"/>
            </w:tcBorders>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kern w:val="14"/>
                <w:sz w:val="17"/>
                <w:szCs w:val="17"/>
              </w:rPr>
            </w:pPr>
          </w:p>
        </w:tc>
        <w:tc>
          <w:tcPr>
            <w:tcW w:w="378" w:type="dxa"/>
            <w:tcBorders>
              <w:top w:val="single" w:sz="12" w:space="0" w:color="auto"/>
            </w:tcBorders>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kern w:val="14"/>
                <w:sz w:val="17"/>
                <w:szCs w:val="17"/>
              </w:rPr>
            </w:pPr>
          </w:p>
        </w:tc>
        <w:tc>
          <w:tcPr>
            <w:tcW w:w="333" w:type="dxa"/>
            <w:tcBorders>
              <w:top w:val="single" w:sz="12" w:space="0" w:color="auto"/>
            </w:tcBorders>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kern w:val="14"/>
                <w:sz w:val="17"/>
                <w:szCs w:val="17"/>
              </w:rPr>
            </w:pPr>
          </w:p>
        </w:tc>
        <w:tc>
          <w:tcPr>
            <w:tcW w:w="369" w:type="dxa"/>
            <w:tcBorders>
              <w:top w:val="single" w:sz="12" w:space="0" w:color="auto"/>
            </w:tcBorders>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kern w:val="14"/>
                <w:sz w:val="17"/>
                <w:szCs w:val="17"/>
              </w:rPr>
            </w:pPr>
          </w:p>
        </w:tc>
        <w:tc>
          <w:tcPr>
            <w:tcW w:w="414" w:type="dxa"/>
            <w:tcBorders>
              <w:top w:val="single" w:sz="12" w:space="0" w:color="auto"/>
            </w:tcBorders>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Cs/>
                <w:kern w:val="14"/>
                <w:sz w:val="17"/>
              </w:rPr>
            </w:pPr>
          </w:p>
        </w:tc>
        <w:tc>
          <w:tcPr>
            <w:tcW w:w="342" w:type="dxa"/>
            <w:tcBorders>
              <w:top w:val="single" w:sz="12" w:space="0" w:color="auto"/>
            </w:tcBorders>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Cs/>
                <w:kern w:val="14"/>
                <w:sz w:val="17"/>
              </w:rPr>
            </w:pPr>
          </w:p>
        </w:tc>
        <w:tc>
          <w:tcPr>
            <w:tcW w:w="360" w:type="dxa"/>
            <w:tcBorders>
              <w:top w:val="single" w:sz="12" w:space="0" w:color="auto"/>
            </w:tcBorders>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kern w:val="14"/>
                <w:sz w:val="17"/>
                <w:szCs w:val="17"/>
              </w:rPr>
            </w:pPr>
          </w:p>
        </w:tc>
        <w:tc>
          <w:tcPr>
            <w:tcW w:w="522" w:type="dxa"/>
            <w:tcBorders>
              <w:top w:val="single" w:sz="12" w:space="0" w:color="auto"/>
            </w:tcBorders>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
                <w:bCs/>
                <w:kern w:val="14"/>
                <w:sz w:val="17"/>
              </w:rPr>
            </w:pPr>
          </w:p>
        </w:tc>
        <w:tc>
          <w:tcPr>
            <w:tcW w:w="792" w:type="dxa"/>
            <w:tcBorders>
              <w:top w:val="single" w:sz="12" w:space="0" w:color="auto"/>
            </w:tcBorders>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Cs/>
                <w:kern w:val="14"/>
                <w:sz w:val="17"/>
              </w:rPr>
            </w:pPr>
          </w:p>
        </w:tc>
        <w:tc>
          <w:tcPr>
            <w:tcW w:w="774" w:type="dxa"/>
            <w:tcBorders>
              <w:top w:val="single" w:sz="12" w:space="0" w:color="auto"/>
            </w:tcBorders>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kern w:val="14"/>
                <w:sz w:val="17"/>
                <w:szCs w:val="17"/>
              </w:rPr>
            </w:pPr>
          </w:p>
        </w:tc>
        <w:tc>
          <w:tcPr>
            <w:tcW w:w="639" w:type="dxa"/>
            <w:tcBorders>
              <w:top w:val="single" w:sz="12" w:space="0" w:color="auto"/>
            </w:tcBorders>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
                <w:bCs/>
                <w:kern w:val="14"/>
                <w:sz w:val="17"/>
              </w:rPr>
            </w:pPr>
          </w:p>
        </w:tc>
        <w:tc>
          <w:tcPr>
            <w:tcW w:w="945" w:type="dxa"/>
            <w:tcBorders>
              <w:top w:val="single" w:sz="12" w:space="0" w:color="auto"/>
            </w:tcBorders>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kern w:val="14"/>
                <w:sz w:val="17"/>
                <w:szCs w:val="17"/>
              </w:rPr>
            </w:pPr>
          </w:p>
        </w:tc>
        <w:tc>
          <w:tcPr>
            <w:tcW w:w="612" w:type="dxa"/>
            <w:tcBorders>
              <w:top w:val="single" w:sz="12" w:space="0" w:color="auto"/>
            </w:tcBorders>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kern w:val="14"/>
                <w:sz w:val="17"/>
                <w:szCs w:val="17"/>
              </w:rPr>
            </w:pPr>
          </w:p>
        </w:tc>
        <w:tc>
          <w:tcPr>
            <w:tcW w:w="810" w:type="dxa"/>
            <w:tcBorders>
              <w:top w:val="single" w:sz="12" w:space="0" w:color="auto"/>
            </w:tcBorders>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kern w:val="14"/>
                <w:sz w:val="17"/>
                <w:szCs w:val="17"/>
              </w:rPr>
            </w:pPr>
          </w:p>
        </w:tc>
        <w:tc>
          <w:tcPr>
            <w:tcW w:w="450" w:type="dxa"/>
            <w:tcBorders>
              <w:top w:val="single" w:sz="12" w:space="0" w:color="auto"/>
            </w:tcBorders>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
                <w:bCs/>
                <w:kern w:val="14"/>
                <w:sz w:val="17"/>
              </w:rPr>
            </w:pPr>
          </w:p>
        </w:tc>
      </w:tr>
      <w:tr w:rsidR="00395DCA" w:rsidRPr="000E1D69" w:rsidTr="00395DCA">
        <w:trPr>
          <w:trHeight w:val="274"/>
        </w:trPr>
        <w:tc>
          <w:tcPr>
            <w:tcW w:w="1278" w:type="dxa"/>
            <w:shd w:val="clear" w:color="auto" w:fill="auto"/>
            <w:vAlign w:val="bottom"/>
          </w:tcPr>
          <w:p w:rsidR="001D1ECB" w:rsidRPr="000E1D69" w:rsidRDefault="001D1ECB" w:rsidP="004D26EA">
            <w:pPr>
              <w:tabs>
                <w:tab w:val="left" w:pos="288"/>
                <w:tab w:val="left" w:pos="576"/>
                <w:tab w:val="left" w:pos="864"/>
                <w:tab w:val="left" w:pos="1152"/>
              </w:tabs>
              <w:spacing w:before="40" w:after="40" w:line="210" w:lineRule="exact"/>
              <w:ind w:right="40"/>
              <w:rPr>
                <w:kern w:val="14"/>
                <w:sz w:val="17"/>
              </w:rPr>
            </w:pPr>
            <w:r w:rsidRPr="000E1D69">
              <w:rPr>
                <w:kern w:val="14"/>
                <w:sz w:val="17"/>
              </w:rPr>
              <w:t>Aprobadas 2016</w:t>
            </w:r>
          </w:p>
        </w:tc>
        <w:tc>
          <w:tcPr>
            <w:tcW w:w="414" w:type="dxa"/>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Cs/>
                <w:kern w:val="14"/>
                <w:sz w:val="17"/>
              </w:rPr>
            </w:pPr>
            <w:r w:rsidRPr="000E1D69">
              <w:rPr>
                <w:kern w:val="14"/>
                <w:sz w:val="17"/>
              </w:rPr>
              <w:t>1</w:t>
            </w:r>
          </w:p>
        </w:tc>
        <w:tc>
          <w:tcPr>
            <w:tcW w:w="405" w:type="dxa"/>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Cs/>
                <w:kern w:val="14"/>
                <w:sz w:val="17"/>
              </w:rPr>
            </w:pPr>
            <w:r w:rsidRPr="000E1D69">
              <w:rPr>
                <w:kern w:val="14"/>
                <w:sz w:val="17"/>
              </w:rPr>
              <w:t>–</w:t>
            </w:r>
          </w:p>
        </w:tc>
        <w:tc>
          <w:tcPr>
            <w:tcW w:w="378" w:type="dxa"/>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Cs/>
                <w:kern w:val="14"/>
                <w:sz w:val="17"/>
              </w:rPr>
            </w:pPr>
            <w:r w:rsidRPr="000E1D69">
              <w:rPr>
                <w:kern w:val="14"/>
                <w:sz w:val="17"/>
              </w:rPr>
              <w:t>1</w:t>
            </w:r>
          </w:p>
        </w:tc>
        <w:tc>
          <w:tcPr>
            <w:tcW w:w="333" w:type="dxa"/>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Cs/>
                <w:kern w:val="14"/>
                <w:sz w:val="17"/>
              </w:rPr>
            </w:pPr>
            <w:r w:rsidRPr="000E1D69">
              <w:rPr>
                <w:kern w:val="14"/>
                <w:sz w:val="17"/>
              </w:rPr>
              <w:t>–</w:t>
            </w:r>
          </w:p>
        </w:tc>
        <w:tc>
          <w:tcPr>
            <w:tcW w:w="369" w:type="dxa"/>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Cs/>
                <w:kern w:val="14"/>
                <w:sz w:val="17"/>
              </w:rPr>
            </w:pPr>
            <w:r w:rsidRPr="000E1D69">
              <w:rPr>
                <w:kern w:val="14"/>
                <w:sz w:val="17"/>
              </w:rPr>
              <w:t>4</w:t>
            </w:r>
          </w:p>
        </w:tc>
        <w:tc>
          <w:tcPr>
            <w:tcW w:w="414" w:type="dxa"/>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Cs/>
                <w:kern w:val="14"/>
                <w:sz w:val="17"/>
              </w:rPr>
            </w:pPr>
            <w:r w:rsidRPr="000E1D69">
              <w:rPr>
                <w:kern w:val="14"/>
                <w:sz w:val="17"/>
              </w:rPr>
              <w:t>5</w:t>
            </w:r>
          </w:p>
        </w:tc>
        <w:tc>
          <w:tcPr>
            <w:tcW w:w="342" w:type="dxa"/>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Cs/>
                <w:kern w:val="14"/>
                <w:sz w:val="17"/>
              </w:rPr>
            </w:pPr>
            <w:r w:rsidRPr="000E1D69">
              <w:rPr>
                <w:kern w:val="14"/>
                <w:sz w:val="17"/>
              </w:rPr>
              <w:t>3</w:t>
            </w:r>
          </w:p>
        </w:tc>
        <w:tc>
          <w:tcPr>
            <w:tcW w:w="360" w:type="dxa"/>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Cs/>
                <w:kern w:val="14"/>
                <w:sz w:val="17"/>
              </w:rPr>
            </w:pPr>
            <w:r w:rsidRPr="000E1D69">
              <w:rPr>
                <w:kern w:val="14"/>
                <w:sz w:val="17"/>
              </w:rPr>
              <w:t>–</w:t>
            </w:r>
          </w:p>
        </w:tc>
        <w:tc>
          <w:tcPr>
            <w:tcW w:w="522" w:type="dxa"/>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
                <w:bCs/>
                <w:kern w:val="14"/>
                <w:sz w:val="17"/>
              </w:rPr>
            </w:pPr>
            <w:r w:rsidRPr="000E1D69">
              <w:rPr>
                <w:b/>
                <w:kern w:val="14"/>
                <w:sz w:val="17"/>
              </w:rPr>
              <w:t>14</w:t>
            </w:r>
          </w:p>
        </w:tc>
        <w:tc>
          <w:tcPr>
            <w:tcW w:w="792" w:type="dxa"/>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Cs/>
                <w:kern w:val="14"/>
                <w:sz w:val="17"/>
              </w:rPr>
            </w:pPr>
            <w:r w:rsidRPr="000E1D69">
              <w:rPr>
                <w:kern w:val="14"/>
                <w:sz w:val="17"/>
              </w:rPr>
              <w:t>13</w:t>
            </w:r>
          </w:p>
        </w:tc>
        <w:tc>
          <w:tcPr>
            <w:tcW w:w="774" w:type="dxa"/>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Cs/>
                <w:kern w:val="14"/>
                <w:sz w:val="17"/>
              </w:rPr>
            </w:pPr>
            <w:r w:rsidRPr="000E1D69">
              <w:rPr>
                <w:kern w:val="14"/>
                <w:sz w:val="17"/>
              </w:rPr>
              <w:t>1</w:t>
            </w:r>
          </w:p>
        </w:tc>
        <w:tc>
          <w:tcPr>
            <w:tcW w:w="639" w:type="dxa"/>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
                <w:bCs/>
                <w:kern w:val="14"/>
                <w:sz w:val="17"/>
              </w:rPr>
            </w:pPr>
            <w:r w:rsidRPr="000E1D69">
              <w:rPr>
                <w:b/>
                <w:kern w:val="14"/>
                <w:sz w:val="17"/>
              </w:rPr>
              <w:t>28</w:t>
            </w:r>
          </w:p>
        </w:tc>
        <w:tc>
          <w:tcPr>
            <w:tcW w:w="945" w:type="dxa"/>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Cs/>
                <w:kern w:val="14"/>
                <w:sz w:val="17"/>
              </w:rPr>
            </w:pPr>
            <w:r w:rsidRPr="000E1D69">
              <w:rPr>
                <w:kern w:val="14"/>
                <w:sz w:val="17"/>
              </w:rPr>
              <w:t>2</w:t>
            </w:r>
          </w:p>
        </w:tc>
        <w:tc>
          <w:tcPr>
            <w:tcW w:w="612" w:type="dxa"/>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Cs/>
                <w:kern w:val="14"/>
                <w:sz w:val="17"/>
              </w:rPr>
            </w:pPr>
            <w:r w:rsidRPr="000E1D69">
              <w:rPr>
                <w:kern w:val="14"/>
                <w:sz w:val="17"/>
              </w:rPr>
              <w:t>9</w:t>
            </w:r>
          </w:p>
        </w:tc>
        <w:tc>
          <w:tcPr>
            <w:tcW w:w="810" w:type="dxa"/>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Cs/>
                <w:kern w:val="14"/>
                <w:sz w:val="17"/>
              </w:rPr>
            </w:pPr>
            <w:r w:rsidRPr="000E1D69">
              <w:rPr>
                <w:kern w:val="14"/>
                <w:sz w:val="17"/>
              </w:rPr>
              <w:t>–</w:t>
            </w:r>
          </w:p>
        </w:tc>
        <w:tc>
          <w:tcPr>
            <w:tcW w:w="450" w:type="dxa"/>
            <w:shd w:val="clear" w:color="auto" w:fill="auto"/>
            <w:vAlign w:val="bottom"/>
          </w:tcPr>
          <w:p w:rsidR="001D1ECB" w:rsidRPr="000E1D69" w:rsidRDefault="001D1ECB" w:rsidP="002D4150">
            <w:pPr>
              <w:keepNext/>
              <w:keepLines/>
              <w:tabs>
                <w:tab w:val="left" w:pos="288"/>
                <w:tab w:val="left" w:pos="576"/>
                <w:tab w:val="left" w:pos="864"/>
                <w:tab w:val="left" w:pos="1152"/>
              </w:tabs>
              <w:spacing w:before="40" w:after="40" w:line="210" w:lineRule="exact"/>
              <w:ind w:right="43"/>
              <w:jc w:val="right"/>
              <w:rPr>
                <w:b/>
                <w:bCs/>
                <w:kern w:val="14"/>
                <w:sz w:val="17"/>
              </w:rPr>
            </w:pPr>
            <w:r w:rsidRPr="000E1D69">
              <w:rPr>
                <w:b/>
                <w:kern w:val="14"/>
                <w:sz w:val="17"/>
              </w:rPr>
              <w:t>39</w:t>
            </w:r>
          </w:p>
        </w:tc>
      </w:tr>
      <w:tr w:rsidR="00395DCA" w:rsidRPr="000E1D69" w:rsidTr="00395DCA">
        <w:tc>
          <w:tcPr>
            <w:tcW w:w="1278" w:type="dxa"/>
            <w:tcBorders>
              <w:bottom w:val="single" w:sz="4" w:space="0" w:color="auto"/>
            </w:tcBorders>
            <w:shd w:val="clear" w:color="auto" w:fill="auto"/>
            <w:vAlign w:val="bottom"/>
          </w:tcPr>
          <w:p w:rsidR="001D1ECB" w:rsidRPr="000E1D69" w:rsidRDefault="001D1ECB" w:rsidP="001D1ECB">
            <w:pPr>
              <w:tabs>
                <w:tab w:val="left" w:pos="288"/>
                <w:tab w:val="left" w:pos="576"/>
                <w:tab w:val="left" w:pos="864"/>
                <w:tab w:val="left" w:pos="1152"/>
              </w:tabs>
              <w:spacing w:before="40" w:after="81" w:line="210" w:lineRule="exact"/>
              <w:ind w:right="40"/>
              <w:rPr>
                <w:kern w:val="14"/>
                <w:sz w:val="17"/>
              </w:rPr>
            </w:pPr>
            <w:r w:rsidRPr="000E1D69">
              <w:rPr>
                <w:kern w:val="14"/>
                <w:sz w:val="17"/>
              </w:rPr>
              <w:t>Propuestas 2017</w:t>
            </w:r>
          </w:p>
        </w:tc>
        <w:tc>
          <w:tcPr>
            <w:tcW w:w="414" w:type="dxa"/>
            <w:tcBorders>
              <w:bottom w:val="single" w:sz="4"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40" w:after="81" w:line="210" w:lineRule="exact"/>
              <w:ind w:right="43"/>
              <w:jc w:val="right"/>
              <w:rPr>
                <w:bCs/>
                <w:kern w:val="14"/>
                <w:sz w:val="17"/>
              </w:rPr>
            </w:pPr>
            <w:r w:rsidRPr="000E1D69">
              <w:rPr>
                <w:kern w:val="14"/>
                <w:sz w:val="17"/>
              </w:rPr>
              <w:t>1</w:t>
            </w:r>
          </w:p>
        </w:tc>
        <w:tc>
          <w:tcPr>
            <w:tcW w:w="405" w:type="dxa"/>
            <w:tcBorders>
              <w:bottom w:val="single" w:sz="4"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40" w:after="81" w:line="210" w:lineRule="exact"/>
              <w:ind w:right="43"/>
              <w:jc w:val="right"/>
              <w:rPr>
                <w:bCs/>
                <w:kern w:val="14"/>
                <w:sz w:val="17"/>
              </w:rPr>
            </w:pPr>
            <w:r w:rsidRPr="000E1D69">
              <w:rPr>
                <w:kern w:val="14"/>
                <w:sz w:val="17"/>
              </w:rPr>
              <w:t>1</w:t>
            </w:r>
          </w:p>
        </w:tc>
        <w:tc>
          <w:tcPr>
            <w:tcW w:w="378" w:type="dxa"/>
            <w:tcBorders>
              <w:bottom w:val="single" w:sz="4"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40" w:after="81" w:line="210" w:lineRule="exact"/>
              <w:ind w:right="43"/>
              <w:jc w:val="right"/>
              <w:rPr>
                <w:bCs/>
                <w:kern w:val="14"/>
                <w:sz w:val="17"/>
              </w:rPr>
            </w:pPr>
            <w:r w:rsidRPr="000E1D69">
              <w:rPr>
                <w:kern w:val="14"/>
                <w:sz w:val="17"/>
              </w:rPr>
              <w:t>–</w:t>
            </w:r>
          </w:p>
        </w:tc>
        <w:tc>
          <w:tcPr>
            <w:tcW w:w="333" w:type="dxa"/>
            <w:tcBorders>
              <w:bottom w:val="single" w:sz="4"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40" w:after="81" w:line="210" w:lineRule="exact"/>
              <w:ind w:right="43"/>
              <w:jc w:val="right"/>
              <w:rPr>
                <w:bCs/>
                <w:kern w:val="14"/>
                <w:sz w:val="17"/>
              </w:rPr>
            </w:pPr>
            <w:r w:rsidRPr="000E1D69">
              <w:rPr>
                <w:kern w:val="14"/>
                <w:sz w:val="17"/>
              </w:rPr>
              <w:t>4</w:t>
            </w:r>
          </w:p>
        </w:tc>
        <w:tc>
          <w:tcPr>
            <w:tcW w:w="369" w:type="dxa"/>
            <w:tcBorders>
              <w:bottom w:val="single" w:sz="4"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40" w:after="81" w:line="210" w:lineRule="exact"/>
              <w:ind w:right="43"/>
              <w:jc w:val="right"/>
              <w:rPr>
                <w:bCs/>
                <w:kern w:val="14"/>
                <w:sz w:val="17"/>
              </w:rPr>
            </w:pPr>
            <w:r w:rsidRPr="000E1D69">
              <w:rPr>
                <w:kern w:val="14"/>
                <w:sz w:val="17"/>
              </w:rPr>
              <w:t>8</w:t>
            </w:r>
          </w:p>
        </w:tc>
        <w:tc>
          <w:tcPr>
            <w:tcW w:w="414" w:type="dxa"/>
            <w:tcBorders>
              <w:bottom w:val="single" w:sz="4"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40" w:after="81" w:line="210" w:lineRule="exact"/>
              <w:ind w:right="43"/>
              <w:jc w:val="right"/>
              <w:rPr>
                <w:bCs/>
                <w:kern w:val="14"/>
                <w:sz w:val="17"/>
              </w:rPr>
            </w:pPr>
            <w:r w:rsidRPr="000E1D69">
              <w:rPr>
                <w:kern w:val="14"/>
                <w:sz w:val="17"/>
              </w:rPr>
              <w:t>18</w:t>
            </w:r>
          </w:p>
        </w:tc>
        <w:tc>
          <w:tcPr>
            <w:tcW w:w="342" w:type="dxa"/>
            <w:tcBorders>
              <w:bottom w:val="single" w:sz="4"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40" w:after="81" w:line="210" w:lineRule="exact"/>
              <w:ind w:right="43"/>
              <w:jc w:val="right"/>
              <w:rPr>
                <w:bCs/>
                <w:kern w:val="14"/>
                <w:sz w:val="17"/>
              </w:rPr>
            </w:pPr>
            <w:r w:rsidRPr="000E1D69">
              <w:rPr>
                <w:kern w:val="14"/>
                <w:sz w:val="17"/>
              </w:rPr>
              <w:t>14</w:t>
            </w:r>
          </w:p>
        </w:tc>
        <w:tc>
          <w:tcPr>
            <w:tcW w:w="360" w:type="dxa"/>
            <w:tcBorders>
              <w:bottom w:val="single" w:sz="4"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40" w:after="81" w:line="210" w:lineRule="exact"/>
              <w:ind w:right="43"/>
              <w:jc w:val="right"/>
              <w:rPr>
                <w:bCs/>
                <w:kern w:val="14"/>
                <w:sz w:val="17"/>
              </w:rPr>
            </w:pPr>
            <w:r w:rsidRPr="000E1D69">
              <w:rPr>
                <w:kern w:val="14"/>
                <w:sz w:val="17"/>
              </w:rPr>
              <w:t>–</w:t>
            </w:r>
          </w:p>
        </w:tc>
        <w:tc>
          <w:tcPr>
            <w:tcW w:w="522" w:type="dxa"/>
            <w:tcBorders>
              <w:bottom w:val="single" w:sz="4"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40" w:after="81" w:line="210" w:lineRule="exact"/>
              <w:ind w:right="43"/>
              <w:jc w:val="right"/>
              <w:rPr>
                <w:b/>
                <w:bCs/>
                <w:kern w:val="14"/>
                <w:sz w:val="17"/>
              </w:rPr>
            </w:pPr>
            <w:r w:rsidRPr="000E1D69">
              <w:rPr>
                <w:b/>
                <w:kern w:val="14"/>
                <w:sz w:val="17"/>
              </w:rPr>
              <w:t>46</w:t>
            </w:r>
          </w:p>
        </w:tc>
        <w:tc>
          <w:tcPr>
            <w:tcW w:w="792" w:type="dxa"/>
            <w:tcBorders>
              <w:bottom w:val="single" w:sz="4"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40" w:after="81" w:line="210" w:lineRule="exact"/>
              <w:ind w:right="43"/>
              <w:jc w:val="right"/>
              <w:rPr>
                <w:bCs/>
                <w:kern w:val="14"/>
                <w:sz w:val="17"/>
              </w:rPr>
            </w:pPr>
            <w:r w:rsidRPr="000E1D69">
              <w:rPr>
                <w:kern w:val="14"/>
                <w:sz w:val="17"/>
              </w:rPr>
              <w:t>27</w:t>
            </w:r>
          </w:p>
        </w:tc>
        <w:tc>
          <w:tcPr>
            <w:tcW w:w="774" w:type="dxa"/>
            <w:tcBorders>
              <w:bottom w:val="single" w:sz="4"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40" w:after="81" w:line="210" w:lineRule="exact"/>
              <w:ind w:right="43"/>
              <w:jc w:val="right"/>
              <w:rPr>
                <w:bCs/>
                <w:kern w:val="14"/>
                <w:sz w:val="17"/>
              </w:rPr>
            </w:pPr>
            <w:r w:rsidRPr="000E1D69">
              <w:rPr>
                <w:kern w:val="14"/>
                <w:sz w:val="17"/>
              </w:rPr>
              <w:t>2</w:t>
            </w:r>
          </w:p>
        </w:tc>
        <w:tc>
          <w:tcPr>
            <w:tcW w:w="639" w:type="dxa"/>
            <w:tcBorders>
              <w:bottom w:val="single" w:sz="4"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40" w:after="81" w:line="210" w:lineRule="exact"/>
              <w:ind w:right="43"/>
              <w:jc w:val="right"/>
              <w:rPr>
                <w:b/>
                <w:bCs/>
                <w:kern w:val="14"/>
                <w:sz w:val="17"/>
              </w:rPr>
            </w:pPr>
            <w:r w:rsidRPr="000E1D69">
              <w:rPr>
                <w:b/>
                <w:kern w:val="14"/>
                <w:sz w:val="17"/>
              </w:rPr>
              <w:t>75</w:t>
            </w:r>
          </w:p>
        </w:tc>
        <w:tc>
          <w:tcPr>
            <w:tcW w:w="945" w:type="dxa"/>
            <w:tcBorders>
              <w:bottom w:val="single" w:sz="4"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40" w:after="81" w:line="210" w:lineRule="exact"/>
              <w:ind w:right="43"/>
              <w:jc w:val="right"/>
              <w:rPr>
                <w:bCs/>
                <w:kern w:val="14"/>
                <w:sz w:val="17"/>
              </w:rPr>
            </w:pPr>
            <w:r w:rsidRPr="000E1D69">
              <w:rPr>
                <w:kern w:val="14"/>
                <w:sz w:val="17"/>
              </w:rPr>
              <w:t>8</w:t>
            </w:r>
          </w:p>
        </w:tc>
        <w:tc>
          <w:tcPr>
            <w:tcW w:w="612" w:type="dxa"/>
            <w:tcBorders>
              <w:bottom w:val="single" w:sz="4"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40" w:after="81" w:line="210" w:lineRule="exact"/>
              <w:ind w:right="43"/>
              <w:jc w:val="right"/>
              <w:rPr>
                <w:bCs/>
                <w:kern w:val="14"/>
                <w:sz w:val="17"/>
              </w:rPr>
            </w:pPr>
            <w:r w:rsidRPr="000E1D69">
              <w:rPr>
                <w:kern w:val="14"/>
                <w:sz w:val="17"/>
              </w:rPr>
              <w:t>30</w:t>
            </w:r>
          </w:p>
        </w:tc>
        <w:tc>
          <w:tcPr>
            <w:tcW w:w="810" w:type="dxa"/>
            <w:tcBorders>
              <w:bottom w:val="single" w:sz="4"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40" w:after="81" w:line="210" w:lineRule="exact"/>
              <w:ind w:right="43"/>
              <w:jc w:val="right"/>
              <w:rPr>
                <w:bCs/>
                <w:kern w:val="14"/>
                <w:sz w:val="17"/>
              </w:rPr>
            </w:pPr>
            <w:r w:rsidRPr="000E1D69">
              <w:rPr>
                <w:kern w:val="14"/>
                <w:sz w:val="17"/>
              </w:rPr>
              <w:t>–</w:t>
            </w:r>
          </w:p>
        </w:tc>
        <w:tc>
          <w:tcPr>
            <w:tcW w:w="450" w:type="dxa"/>
            <w:tcBorders>
              <w:bottom w:val="single" w:sz="4"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40" w:after="81" w:line="210" w:lineRule="exact"/>
              <w:ind w:right="43"/>
              <w:jc w:val="right"/>
              <w:rPr>
                <w:b/>
                <w:bCs/>
                <w:kern w:val="14"/>
                <w:sz w:val="17"/>
              </w:rPr>
            </w:pPr>
            <w:r w:rsidRPr="000E1D69">
              <w:rPr>
                <w:b/>
                <w:kern w:val="14"/>
                <w:sz w:val="17"/>
              </w:rPr>
              <w:t>113</w:t>
            </w:r>
          </w:p>
        </w:tc>
      </w:tr>
      <w:tr w:rsidR="00395DCA" w:rsidRPr="000E1D69" w:rsidTr="00395DCA">
        <w:tc>
          <w:tcPr>
            <w:tcW w:w="1278" w:type="dxa"/>
            <w:tcBorders>
              <w:top w:val="single" w:sz="4" w:space="0" w:color="auto"/>
              <w:bottom w:val="single" w:sz="12" w:space="0" w:color="auto"/>
            </w:tcBorders>
            <w:shd w:val="clear" w:color="auto" w:fill="auto"/>
            <w:vAlign w:val="bottom"/>
          </w:tcPr>
          <w:p w:rsidR="001D1ECB" w:rsidRPr="000E1D69" w:rsidRDefault="001D1ECB" w:rsidP="001D1ECB">
            <w:pPr>
              <w:tabs>
                <w:tab w:val="left" w:pos="288"/>
                <w:tab w:val="left" w:pos="576"/>
                <w:tab w:val="left" w:pos="864"/>
                <w:tab w:val="right" w:pos="1022"/>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81" w:after="81" w:line="210" w:lineRule="exact"/>
              <w:ind w:right="40"/>
              <w:rPr>
                <w:b/>
                <w:kern w:val="14"/>
                <w:sz w:val="17"/>
              </w:rPr>
            </w:pPr>
            <w:r w:rsidRPr="000E1D69">
              <w:rPr>
                <w:b/>
                <w:kern w:val="14"/>
                <w:sz w:val="17"/>
              </w:rPr>
              <w:tab/>
              <w:t>Cambio</w:t>
            </w:r>
          </w:p>
        </w:tc>
        <w:tc>
          <w:tcPr>
            <w:tcW w:w="414" w:type="dxa"/>
            <w:tcBorders>
              <w:top w:val="single" w:sz="4" w:space="0" w:color="auto"/>
              <w:bottom w:val="single" w:sz="12"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81" w:after="81" w:line="210" w:lineRule="exact"/>
              <w:ind w:right="43"/>
              <w:jc w:val="right"/>
              <w:rPr>
                <w:b/>
                <w:bCs/>
                <w:kern w:val="14"/>
                <w:sz w:val="17"/>
              </w:rPr>
            </w:pPr>
            <w:r w:rsidRPr="000E1D69">
              <w:rPr>
                <w:b/>
                <w:kern w:val="14"/>
                <w:sz w:val="17"/>
              </w:rPr>
              <w:t>–</w:t>
            </w:r>
          </w:p>
        </w:tc>
        <w:tc>
          <w:tcPr>
            <w:tcW w:w="405" w:type="dxa"/>
            <w:tcBorders>
              <w:top w:val="single" w:sz="4" w:space="0" w:color="auto"/>
              <w:bottom w:val="single" w:sz="12"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81" w:after="81" w:line="210" w:lineRule="exact"/>
              <w:ind w:right="43"/>
              <w:jc w:val="right"/>
              <w:rPr>
                <w:b/>
                <w:bCs/>
                <w:kern w:val="14"/>
                <w:sz w:val="17"/>
              </w:rPr>
            </w:pPr>
            <w:r w:rsidRPr="000E1D69">
              <w:rPr>
                <w:b/>
                <w:kern w:val="14"/>
                <w:sz w:val="17"/>
              </w:rPr>
              <w:t>1</w:t>
            </w:r>
          </w:p>
        </w:tc>
        <w:tc>
          <w:tcPr>
            <w:tcW w:w="378" w:type="dxa"/>
            <w:tcBorders>
              <w:top w:val="single" w:sz="4" w:space="0" w:color="auto"/>
              <w:bottom w:val="single" w:sz="12"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81" w:after="81" w:line="210" w:lineRule="exact"/>
              <w:ind w:right="43"/>
              <w:jc w:val="right"/>
              <w:rPr>
                <w:b/>
                <w:bCs/>
                <w:kern w:val="14"/>
                <w:sz w:val="17"/>
              </w:rPr>
            </w:pPr>
            <w:r w:rsidRPr="000E1D69">
              <w:rPr>
                <w:b/>
                <w:kern w:val="14"/>
                <w:sz w:val="17"/>
              </w:rPr>
              <w:t>(1)</w:t>
            </w:r>
          </w:p>
        </w:tc>
        <w:tc>
          <w:tcPr>
            <w:tcW w:w="333" w:type="dxa"/>
            <w:tcBorders>
              <w:top w:val="single" w:sz="4" w:space="0" w:color="auto"/>
              <w:bottom w:val="single" w:sz="12"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81" w:after="81" w:line="210" w:lineRule="exact"/>
              <w:ind w:right="43"/>
              <w:jc w:val="right"/>
              <w:rPr>
                <w:b/>
                <w:bCs/>
                <w:kern w:val="14"/>
                <w:sz w:val="17"/>
              </w:rPr>
            </w:pPr>
            <w:r w:rsidRPr="000E1D69">
              <w:rPr>
                <w:b/>
                <w:kern w:val="14"/>
                <w:sz w:val="17"/>
              </w:rPr>
              <w:t>4</w:t>
            </w:r>
          </w:p>
        </w:tc>
        <w:tc>
          <w:tcPr>
            <w:tcW w:w="369" w:type="dxa"/>
            <w:tcBorders>
              <w:top w:val="single" w:sz="4" w:space="0" w:color="auto"/>
              <w:bottom w:val="single" w:sz="12"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81" w:after="81" w:line="210" w:lineRule="exact"/>
              <w:ind w:right="43"/>
              <w:jc w:val="right"/>
              <w:rPr>
                <w:b/>
                <w:bCs/>
                <w:kern w:val="14"/>
                <w:sz w:val="17"/>
              </w:rPr>
            </w:pPr>
            <w:r w:rsidRPr="000E1D69">
              <w:rPr>
                <w:b/>
                <w:kern w:val="14"/>
                <w:sz w:val="17"/>
              </w:rPr>
              <w:t>4</w:t>
            </w:r>
          </w:p>
        </w:tc>
        <w:tc>
          <w:tcPr>
            <w:tcW w:w="414" w:type="dxa"/>
            <w:tcBorders>
              <w:top w:val="single" w:sz="4" w:space="0" w:color="auto"/>
              <w:bottom w:val="single" w:sz="12"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81" w:after="81" w:line="210" w:lineRule="exact"/>
              <w:ind w:right="43"/>
              <w:jc w:val="right"/>
              <w:rPr>
                <w:b/>
                <w:bCs/>
                <w:kern w:val="14"/>
                <w:sz w:val="17"/>
              </w:rPr>
            </w:pPr>
            <w:r w:rsidRPr="000E1D69">
              <w:rPr>
                <w:b/>
                <w:kern w:val="14"/>
                <w:sz w:val="17"/>
              </w:rPr>
              <w:t>13</w:t>
            </w:r>
          </w:p>
        </w:tc>
        <w:tc>
          <w:tcPr>
            <w:tcW w:w="342" w:type="dxa"/>
            <w:tcBorders>
              <w:top w:val="single" w:sz="4" w:space="0" w:color="auto"/>
              <w:bottom w:val="single" w:sz="12"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81" w:after="81" w:line="210" w:lineRule="exact"/>
              <w:ind w:right="43"/>
              <w:jc w:val="right"/>
              <w:rPr>
                <w:b/>
                <w:bCs/>
                <w:kern w:val="14"/>
                <w:sz w:val="17"/>
              </w:rPr>
            </w:pPr>
            <w:r w:rsidRPr="000E1D69">
              <w:rPr>
                <w:b/>
                <w:kern w:val="14"/>
                <w:sz w:val="17"/>
              </w:rPr>
              <w:t>11</w:t>
            </w:r>
          </w:p>
        </w:tc>
        <w:tc>
          <w:tcPr>
            <w:tcW w:w="360" w:type="dxa"/>
            <w:tcBorders>
              <w:top w:val="single" w:sz="4" w:space="0" w:color="auto"/>
              <w:bottom w:val="single" w:sz="12"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81" w:after="81" w:line="210" w:lineRule="exact"/>
              <w:ind w:right="43"/>
              <w:jc w:val="right"/>
              <w:rPr>
                <w:b/>
                <w:bCs/>
                <w:kern w:val="14"/>
                <w:sz w:val="17"/>
              </w:rPr>
            </w:pPr>
            <w:r w:rsidRPr="000E1D69">
              <w:rPr>
                <w:b/>
                <w:kern w:val="14"/>
                <w:sz w:val="17"/>
              </w:rPr>
              <w:t>–</w:t>
            </w:r>
          </w:p>
        </w:tc>
        <w:tc>
          <w:tcPr>
            <w:tcW w:w="522" w:type="dxa"/>
            <w:tcBorders>
              <w:top w:val="single" w:sz="4" w:space="0" w:color="auto"/>
              <w:bottom w:val="single" w:sz="12"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81" w:after="81" w:line="210" w:lineRule="exact"/>
              <w:ind w:right="43"/>
              <w:jc w:val="right"/>
              <w:rPr>
                <w:b/>
                <w:bCs/>
                <w:kern w:val="14"/>
                <w:sz w:val="17"/>
              </w:rPr>
            </w:pPr>
            <w:r w:rsidRPr="000E1D69">
              <w:rPr>
                <w:b/>
                <w:kern w:val="14"/>
                <w:sz w:val="17"/>
              </w:rPr>
              <w:t>32</w:t>
            </w:r>
          </w:p>
        </w:tc>
        <w:tc>
          <w:tcPr>
            <w:tcW w:w="792" w:type="dxa"/>
            <w:tcBorders>
              <w:top w:val="single" w:sz="4" w:space="0" w:color="auto"/>
              <w:bottom w:val="single" w:sz="12"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81" w:after="81" w:line="210" w:lineRule="exact"/>
              <w:ind w:right="43"/>
              <w:jc w:val="right"/>
              <w:rPr>
                <w:b/>
                <w:bCs/>
                <w:kern w:val="14"/>
                <w:sz w:val="17"/>
              </w:rPr>
            </w:pPr>
            <w:r w:rsidRPr="000E1D69">
              <w:rPr>
                <w:b/>
                <w:kern w:val="14"/>
                <w:sz w:val="17"/>
              </w:rPr>
              <w:t>14</w:t>
            </w:r>
          </w:p>
        </w:tc>
        <w:tc>
          <w:tcPr>
            <w:tcW w:w="774" w:type="dxa"/>
            <w:tcBorders>
              <w:top w:val="single" w:sz="4" w:space="0" w:color="auto"/>
              <w:bottom w:val="single" w:sz="12"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81" w:after="81" w:line="210" w:lineRule="exact"/>
              <w:ind w:right="43"/>
              <w:jc w:val="right"/>
              <w:rPr>
                <w:b/>
                <w:bCs/>
                <w:kern w:val="14"/>
                <w:sz w:val="17"/>
              </w:rPr>
            </w:pPr>
            <w:r w:rsidRPr="000E1D69">
              <w:rPr>
                <w:b/>
                <w:kern w:val="14"/>
                <w:sz w:val="17"/>
              </w:rPr>
              <w:t>1</w:t>
            </w:r>
          </w:p>
        </w:tc>
        <w:tc>
          <w:tcPr>
            <w:tcW w:w="639" w:type="dxa"/>
            <w:tcBorders>
              <w:top w:val="single" w:sz="4" w:space="0" w:color="auto"/>
              <w:bottom w:val="single" w:sz="12"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81" w:after="81" w:line="210" w:lineRule="exact"/>
              <w:ind w:right="43"/>
              <w:jc w:val="right"/>
              <w:rPr>
                <w:b/>
                <w:bCs/>
                <w:kern w:val="14"/>
                <w:sz w:val="17"/>
              </w:rPr>
            </w:pPr>
            <w:r w:rsidRPr="000E1D69">
              <w:rPr>
                <w:b/>
                <w:kern w:val="14"/>
                <w:sz w:val="17"/>
              </w:rPr>
              <w:t>47</w:t>
            </w:r>
          </w:p>
        </w:tc>
        <w:tc>
          <w:tcPr>
            <w:tcW w:w="945" w:type="dxa"/>
            <w:tcBorders>
              <w:top w:val="single" w:sz="4" w:space="0" w:color="auto"/>
              <w:bottom w:val="single" w:sz="12"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81" w:after="81" w:line="210" w:lineRule="exact"/>
              <w:ind w:right="43"/>
              <w:jc w:val="right"/>
              <w:rPr>
                <w:b/>
                <w:bCs/>
                <w:kern w:val="14"/>
                <w:sz w:val="17"/>
              </w:rPr>
            </w:pPr>
            <w:r w:rsidRPr="000E1D69">
              <w:rPr>
                <w:b/>
                <w:kern w:val="14"/>
                <w:sz w:val="17"/>
              </w:rPr>
              <w:t>6</w:t>
            </w:r>
          </w:p>
        </w:tc>
        <w:tc>
          <w:tcPr>
            <w:tcW w:w="612" w:type="dxa"/>
            <w:tcBorders>
              <w:top w:val="single" w:sz="4" w:space="0" w:color="auto"/>
              <w:bottom w:val="single" w:sz="12"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81" w:after="81" w:line="210" w:lineRule="exact"/>
              <w:ind w:right="43"/>
              <w:jc w:val="right"/>
              <w:rPr>
                <w:b/>
                <w:bCs/>
                <w:kern w:val="14"/>
                <w:sz w:val="17"/>
              </w:rPr>
            </w:pPr>
            <w:r w:rsidRPr="000E1D69">
              <w:rPr>
                <w:b/>
                <w:kern w:val="14"/>
                <w:sz w:val="17"/>
              </w:rPr>
              <w:t>21</w:t>
            </w:r>
          </w:p>
        </w:tc>
        <w:tc>
          <w:tcPr>
            <w:tcW w:w="810" w:type="dxa"/>
            <w:tcBorders>
              <w:top w:val="single" w:sz="4" w:space="0" w:color="auto"/>
              <w:bottom w:val="single" w:sz="12"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81" w:after="81" w:line="210" w:lineRule="exact"/>
              <w:ind w:right="43"/>
              <w:jc w:val="right"/>
              <w:rPr>
                <w:b/>
                <w:bCs/>
                <w:kern w:val="14"/>
                <w:sz w:val="17"/>
              </w:rPr>
            </w:pPr>
            <w:r w:rsidRPr="000E1D69">
              <w:rPr>
                <w:b/>
                <w:kern w:val="14"/>
                <w:sz w:val="17"/>
              </w:rPr>
              <w:t>–</w:t>
            </w:r>
          </w:p>
        </w:tc>
        <w:tc>
          <w:tcPr>
            <w:tcW w:w="450" w:type="dxa"/>
            <w:tcBorders>
              <w:top w:val="single" w:sz="4" w:space="0" w:color="auto"/>
              <w:bottom w:val="single" w:sz="12" w:space="0" w:color="auto"/>
            </w:tcBorders>
            <w:shd w:val="clear" w:color="auto" w:fill="auto"/>
            <w:vAlign w:val="bottom"/>
          </w:tcPr>
          <w:p w:rsidR="001D1ECB" w:rsidRPr="000E1D69" w:rsidRDefault="001D1ECB" w:rsidP="002D4150">
            <w:pPr>
              <w:tabs>
                <w:tab w:val="left" w:pos="288"/>
                <w:tab w:val="left" w:pos="576"/>
                <w:tab w:val="left" w:pos="864"/>
                <w:tab w:val="left" w:pos="1152"/>
              </w:tabs>
              <w:spacing w:before="81" w:after="81" w:line="210" w:lineRule="exact"/>
              <w:ind w:right="43"/>
              <w:jc w:val="right"/>
              <w:rPr>
                <w:b/>
                <w:bCs/>
                <w:kern w:val="14"/>
                <w:sz w:val="17"/>
              </w:rPr>
            </w:pPr>
            <w:r w:rsidRPr="000E1D69">
              <w:rPr>
                <w:b/>
                <w:kern w:val="14"/>
                <w:sz w:val="17"/>
              </w:rPr>
              <w:t>74</w:t>
            </w:r>
          </w:p>
        </w:tc>
      </w:tr>
    </w:tbl>
    <w:p w:rsidR="001D1ECB" w:rsidRPr="000E1D69" w:rsidRDefault="001D1ECB" w:rsidP="001D1ECB">
      <w:pPr>
        <w:pStyle w:val="SingleTxt"/>
        <w:spacing w:after="0" w:line="120" w:lineRule="exact"/>
        <w:rPr>
          <w:sz w:val="10"/>
        </w:rPr>
      </w:pPr>
    </w:p>
    <w:p w:rsidR="001D1ECB" w:rsidRPr="000E1D69" w:rsidRDefault="001D1ECB" w:rsidP="001D1ECB">
      <w:pPr>
        <w:pStyle w:val="SingleTxt"/>
        <w:spacing w:after="0" w:line="120" w:lineRule="exact"/>
        <w:rPr>
          <w:sz w:val="10"/>
        </w:rPr>
      </w:pPr>
    </w:p>
    <w:p w:rsidR="00435C1A" w:rsidRPr="000E1D69" w:rsidRDefault="00435C1A">
      <w:pPr>
        <w:suppressAutoHyphens w:val="0"/>
        <w:spacing w:after="200" w:line="276" w:lineRule="auto"/>
        <w:rPr>
          <w:kern w:val="14"/>
        </w:rPr>
      </w:pPr>
      <w:r w:rsidRPr="000E1D69">
        <w:br w:type="page"/>
      </w:r>
    </w:p>
    <w:p w:rsidR="00D07300" w:rsidRPr="000E1D69" w:rsidRDefault="00D07300" w:rsidP="00D07300">
      <w:pPr>
        <w:pStyle w:val="SingleTxt"/>
        <w:numPr>
          <w:ilvl w:val="0"/>
          <w:numId w:val="21"/>
        </w:numPr>
        <w:tabs>
          <w:tab w:val="clear" w:pos="475"/>
          <w:tab w:val="num" w:pos="1742"/>
        </w:tabs>
        <w:ind w:left="1267"/>
      </w:pPr>
      <w:r w:rsidRPr="000E1D69">
        <w:t>La plantilla total propuesta para la Oficina del Enviado Especial para 2017 comprende un total de 113 plazas, lo que supone un aumento de 74 plazas nuevas</w:t>
      </w:r>
      <w:r w:rsidR="00435C1A" w:rsidRPr="000E1D69">
        <w:rPr>
          <w:rStyle w:val="FootnoteReference"/>
        </w:rPr>
        <w:footnoteReference w:id="2"/>
      </w:r>
      <w:r w:rsidRPr="000E1D69">
        <w:t>, o casi el doble de la dotación de personal aprobada para 2016, con 49 plazas con sede en Ammán, 57 plazas en Saná, 2 plazas en Kuwait y 5 plazas en Nueva York. También se propone establecer nuevas secciones sustantivas, a saber, la Oficina del Jefe de Gabinete, la Oficina del Jefe Adjunto de la Misión, la Sección del Sector de la Seguridad y la Sección de Información Pública. A continuación se presenta un resumen de los cambios propue</w:t>
      </w:r>
      <w:r w:rsidR="00171500">
        <w:t>stos en la dotación de personal:</w:t>
      </w:r>
      <w:r w:rsidRPr="000E1D69">
        <w:t xml:space="preserve"> </w:t>
      </w:r>
    </w:p>
    <w:p w:rsidR="00D07300" w:rsidRPr="000E1D69" w:rsidRDefault="00D07300" w:rsidP="00D07300">
      <w:pPr>
        <w:pStyle w:val="SingleTxt"/>
      </w:pPr>
      <w:r w:rsidRPr="000E1D69">
        <w:tab/>
        <w:t>a)</w:t>
      </w:r>
      <w:r w:rsidRPr="000E1D69">
        <w:tab/>
        <w:t xml:space="preserve">Treinta y nueve nuevas plazas sustantivas, a saber: </w:t>
      </w:r>
    </w:p>
    <w:p w:rsidR="00D07300" w:rsidRPr="000E1D69" w:rsidRDefault="00D07300" w:rsidP="00D07300">
      <w:pPr>
        <w:pStyle w:val="SingleTxt"/>
      </w:pPr>
      <w:r w:rsidRPr="000E1D69">
        <w:tab/>
        <w:t>i)</w:t>
      </w:r>
      <w:r w:rsidRPr="000E1D69">
        <w:tab/>
        <w:t>Tres plazas de categoría D-1 (2 en Ammán y 1 en Saná);</w:t>
      </w:r>
    </w:p>
    <w:p w:rsidR="00D07300" w:rsidRPr="000E1D69" w:rsidRDefault="00D07300" w:rsidP="00D07300">
      <w:pPr>
        <w:pStyle w:val="SingleTxt"/>
      </w:pPr>
      <w:r w:rsidRPr="000E1D69">
        <w:tab/>
        <w:t>ii)</w:t>
      </w:r>
      <w:r w:rsidRPr="000E1D69">
        <w:tab/>
        <w:t>Cuatro plazas de categoría P-5 (3 en Ammán y 1 en Saná);</w:t>
      </w:r>
    </w:p>
    <w:p w:rsidR="00D07300" w:rsidRPr="000E1D69" w:rsidRDefault="00D07300" w:rsidP="00D07300">
      <w:pPr>
        <w:pStyle w:val="SingleTxt"/>
      </w:pPr>
      <w:r w:rsidRPr="000E1D69">
        <w:tab/>
        <w:t>iii)</w:t>
      </w:r>
      <w:r w:rsidRPr="000E1D69">
        <w:tab/>
        <w:t>Siete plazas de categoría P-4 (5 en Ammán y 2 en Saná);</w:t>
      </w:r>
    </w:p>
    <w:p w:rsidR="00D07300" w:rsidRPr="000E1D69" w:rsidRDefault="00D07300" w:rsidP="00D07300">
      <w:pPr>
        <w:pStyle w:val="SingleTxt"/>
      </w:pPr>
      <w:r w:rsidRPr="000E1D69">
        <w:tab/>
        <w:t>iv)</w:t>
      </w:r>
      <w:r w:rsidRPr="000E1D69">
        <w:tab/>
        <w:t>Seis plazas de categoría P-3 (3 en Ammán y 3 en Saná);</w:t>
      </w:r>
    </w:p>
    <w:p w:rsidR="00D07300" w:rsidRPr="000E1D69" w:rsidRDefault="00D07300" w:rsidP="00D07300">
      <w:pPr>
        <w:pStyle w:val="SingleTxt"/>
      </w:pPr>
      <w:r w:rsidRPr="000E1D69">
        <w:tab/>
        <w:t>v)</w:t>
      </w:r>
      <w:r w:rsidRPr="000E1D69">
        <w:tab/>
        <w:t>Tres plazas del Servicio Móvil (en Ammán);</w:t>
      </w:r>
    </w:p>
    <w:p w:rsidR="00D07300" w:rsidRPr="000E1D69" w:rsidRDefault="00D07300" w:rsidP="00D07300">
      <w:pPr>
        <w:pStyle w:val="SingleTxt"/>
      </w:pPr>
      <w:r w:rsidRPr="000E1D69">
        <w:tab/>
        <w:t>vi)</w:t>
      </w:r>
      <w:r w:rsidRPr="000E1D69">
        <w:tab/>
        <w:t>Cinco plazas de funcionario nacional del Cuadro Orgánico (en Saná);</w:t>
      </w:r>
    </w:p>
    <w:p w:rsidR="00D07300" w:rsidRPr="000E1D69" w:rsidRDefault="00D07300" w:rsidP="00D07300">
      <w:pPr>
        <w:pStyle w:val="SingleTxt"/>
      </w:pPr>
      <w:r w:rsidRPr="000E1D69">
        <w:tab/>
        <w:t>vii)</w:t>
      </w:r>
      <w:r w:rsidRPr="000E1D69">
        <w:tab/>
        <w:t>Once plazas de contratación local (6 en Ammán y 5 en Saná);</w:t>
      </w:r>
    </w:p>
    <w:p w:rsidR="00D07300" w:rsidRPr="000E1D69" w:rsidRDefault="00D07300" w:rsidP="00D07300">
      <w:pPr>
        <w:pStyle w:val="SingleTxt"/>
      </w:pPr>
      <w:r w:rsidRPr="000E1D69">
        <w:tab/>
        <w:t>b)</w:t>
      </w:r>
      <w:r w:rsidRPr="000E1D69">
        <w:tab/>
        <w:t>Siete nuevas plazas relacionadas con la seguridad, a saber:</w:t>
      </w:r>
    </w:p>
    <w:p w:rsidR="00D07300" w:rsidRPr="000E1D69" w:rsidRDefault="00D07300" w:rsidP="00D07300">
      <w:pPr>
        <w:pStyle w:val="SingleTxt"/>
        <w:ind w:left="1742" w:hanging="475"/>
      </w:pPr>
      <w:r w:rsidRPr="000E1D69">
        <w:tab/>
        <w:t>i)</w:t>
      </w:r>
      <w:r w:rsidRPr="000E1D69">
        <w:tab/>
        <w:t>Cinco plazas (1 P-4, 1 P-3, 2 del Servicio Móvil y 1 de contratación local) en Saná;</w:t>
      </w:r>
    </w:p>
    <w:p w:rsidR="00D07300" w:rsidRPr="000E1D69" w:rsidRDefault="00D07300" w:rsidP="00D07300">
      <w:pPr>
        <w:pStyle w:val="SingleTxt"/>
      </w:pPr>
      <w:r w:rsidRPr="000E1D69">
        <w:tab/>
        <w:t>ii)</w:t>
      </w:r>
      <w:r w:rsidRPr="000E1D69">
        <w:tab/>
        <w:t>Dos plazas (1 del Servicio Móvil y 1 de contratación local) en Ammán;</w:t>
      </w:r>
    </w:p>
    <w:p w:rsidR="00D07300" w:rsidRPr="000E1D69" w:rsidRDefault="00D07300" w:rsidP="00D07300">
      <w:pPr>
        <w:pStyle w:val="SingleTxt"/>
      </w:pPr>
      <w:r w:rsidRPr="000E1D69">
        <w:tab/>
        <w:t>c)</w:t>
      </w:r>
      <w:r w:rsidRPr="000E1D69">
        <w:tab/>
        <w:t xml:space="preserve">Veinticinco nuevas plazas relacionadas con el apoyo a la misión, a saber: </w:t>
      </w:r>
    </w:p>
    <w:p w:rsidR="00D07300" w:rsidRPr="000E1D69" w:rsidRDefault="00D07300" w:rsidP="00D07300">
      <w:pPr>
        <w:pStyle w:val="SingleTxt"/>
        <w:ind w:left="1742" w:hanging="475"/>
      </w:pPr>
      <w:r w:rsidRPr="000E1D69">
        <w:tab/>
        <w:t>i)</w:t>
      </w:r>
      <w:r w:rsidRPr="000E1D69">
        <w:tab/>
        <w:t>Una plaza de categoría D-1, en Ammán;</w:t>
      </w:r>
    </w:p>
    <w:p w:rsidR="00D07300" w:rsidRPr="000E1D69" w:rsidRDefault="00D07300" w:rsidP="00D07300">
      <w:pPr>
        <w:pStyle w:val="SingleTxt"/>
      </w:pPr>
      <w:r w:rsidRPr="000E1D69">
        <w:tab/>
        <w:t>ii)</w:t>
      </w:r>
      <w:r w:rsidRPr="000E1D69">
        <w:tab/>
        <w:t>Cuatro plazas de categoría P-4, en Ammán;</w:t>
      </w:r>
    </w:p>
    <w:p w:rsidR="00D07300" w:rsidRPr="000E1D69" w:rsidRDefault="00D07300" w:rsidP="00D07300">
      <w:pPr>
        <w:pStyle w:val="SingleTxt"/>
      </w:pPr>
      <w:r w:rsidRPr="000E1D69">
        <w:tab/>
        <w:t>iii)</w:t>
      </w:r>
      <w:r w:rsidRPr="000E1D69">
        <w:tab/>
        <w:t>Tres de categoría P-3 (2 en Ammán y 1 en Saná);</w:t>
      </w:r>
    </w:p>
    <w:p w:rsidR="00D07300" w:rsidRPr="000E1D69" w:rsidRDefault="00D07300" w:rsidP="00D07300">
      <w:pPr>
        <w:pStyle w:val="SingleTxt"/>
      </w:pPr>
      <w:r w:rsidRPr="000E1D69">
        <w:tab/>
        <w:t>iv)</w:t>
      </w:r>
      <w:r w:rsidRPr="000E1D69">
        <w:tab/>
        <w:t xml:space="preserve">Ocho plazas del Servicio Móvil (5 en Ammán y 3 en Saná); </w:t>
      </w:r>
    </w:p>
    <w:p w:rsidR="00D07300" w:rsidRPr="000E1D69" w:rsidRDefault="00D07300" w:rsidP="00D07300">
      <w:pPr>
        <w:pStyle w:val="SingleTxt"/>
      </w:pPr>
      <w:r w:rsidRPr="000E1D69">
        <w:tab/>
        <w:t>v)</w:t>
      </w:r>
      <w:r w:rsidRPr="000E1D69">
        <w:tab/>
        <w:t>Una plaza de funcionario nacional del Cuadro Orgánico, en Ammán;</w:t>
      </w:r>
    </w:p>
    <w:p w:rsidR="00D07300" w:rsidRPr="000E1D69" w:rsidRDefault="00D07300" w:rsidP="00D07300">
      <w:pPr>
        <w:pStyle w:val="SingleTxt"/>
        <w:ind w:left="1742" w:hanging="475"/>
      </w:pPr>
      <w:r w:rsidRPr="000E1D69">
        <w:tab/>
        <w:t>vi)</w:t>
      </w:r>
      <w:r w:rsidRPr="000E1D69">
        <w:tab/>
        <w:t>Ocho plazas de contratación local (4 en Ammán, 2 en Saná y 2 en Kuwait);</w:t>
      </w:r>
    </w:p>
    <w:p w:rsidR="00D07300" w:rsidRPr="000E1D69" w:rsidRDefault="00D07300" w:rsidP="00D07300">
      <w:pPr>
        <w:pStyle w:val="SingleTxt"/>
      </w:pPr>
      <w:r w:rsidRPr="000E1D69">
        <w:tab/>
        <w:t>d)</w:t>
      </w:r>
      <w:r w:rsidRPr="000E1D69">
        <w:tab/>
        <w:t>Tres nuevas plazas relacionadas con la prestación de ap</w:t>
      </w:r>
      <w:r w:rsidR="00171500">
        <w:t>oyo con sede en Nueva York (1 P-4, 1 P</w:t>
      </w:r>
      <w:r w:rsidRPr="000E1D69">
        <w:t>-3 y 1 del Cuadro de Servicios Generales (otras categorías));</w:t>
      </w:r>
    </w:p>
    <w:p w:rsidR="00D07300" w:rsidRPr="000E1D69" w:rsidRDefault="00D07300" w:rsidP="00D07300">
      <w:pPr>
        <w:pStyle w:val="SingleTxt"/>
      </w:pPr>
      <w:r w:rsidRPr="000E1D69">
        <w:tab/>
        <w:t>e)</w:t>
      </w:r>
      <w:r w:rsidRPr="000E1D69">
        <w:tab/>
        <w:t xml:space="preserve">Redistribución propuesta de cuatro plazas sustantivas de Nueva York en Ammán (1 de Secretario General Adjunto, 1 P-5, 1 P-4 y 1 P-3) y tres plazas sustantivas de Saná en Ammán, incluidas dos plazas del Cuadro Orgánico (1 P-5 y </w:t>
      </w:r>
      <w:r w:rsidR="00171500">
        <w:br/>
      </w:r>
      <w:r w:rsidRPr="000E1D69">
        <w:t xml:space="preserve">1 P-4) y una plaza del Servicio Móvil en apoyo a la misión; </w:t>
      </w:r>
    </w:p>
    <w:p w:rsidR="00D07300" w:rsidRPr="000E1D69" w:rsidRDefault="00D07300" w:rsidP="00D07300">
      <w:pPr>
        <w:pStyle w:val="SingleTxt"/>
      </w:pPr>
      <w:r w:rsidRPr="000E1D69">
        <w:tab/>
        <w:t>f)</w:t>
      </w:r>
      <w:r w:rsidRPr="000E1D69">
        <w:tab/>
        <w:t>Reclasificación y redistribución propuestas de la plaza existente de Director de la Oficina de Apoyo Político en Saná, de categoría D-2, en la categoría de Subsecretario General como Jefe Adjunto de la Misión en Ammán (</w:t>
      </w:r>
      <w:hyperlink r:id="rId28" w:history="1">
        <w:r w:rsidRPr="006459B3">
          <w:rPr>
            <w:rStyle w:val="Hyperlink"/>
          </w:rPr>
          <w:t>A/71/365/Add.6</w:t>
        </w:r>
      </w:hyperlink>
      <w:r w:rsidRPr="000E1D69">
        <w:t>).</w:t>
      </w:r>
    </w:p>
    <w:p w:rsidR="00D07300" w:rsidRPr="000E1D69" w:rsidRDefault="00D07300" w:rsidP="00435C1A">
      <w:pPr>
        <w:pStyle w:val="SingleTxt"/>
        <w:spacing w:after="0" w:line="120" w:lineRule="exact"/>
        <w:rPr>
          <w:sz w:val="10"/>
        </w:rPr>
      </w:pPr>
    </w:p>
    <w:p w:rsidR="00D07300" w:rsidRPr="000E1D69" w:rsidRDefault="00435C1A" w:rsidP="00435C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E1D69">
        <w:tab/>
      </w:r>
      <w:r w:rsidRPr="000E1D69">
        <w:tab/>
      </w:r>
      <w:r w:rsidR="00D07300" w:rsidRPr="000E1D69">
        <w:t>Observaciones y recomendaciones sobre las necesidades de personal</w:t>
      </w:r>
    </w:p>
    <w:p w:rsidR="00435C1A" w:rsidRPr="000E1D69" w:rsidRDefault="00435C1A" w:rsidP="00435C1A">
      <w:pPr>
        <w:pStyle w:val="SingleTxt"/>
        <w:spacing w:after="0" w:line="120" w:lineRule="exact"/>
        <w:rPr>
          <w:sz w:val="10"/>
        </w:rPr>
      </w:pPr>
    </w:p>
    <w:p w:rsidR="00D07300" w:rsidRPr="000E1D69" w:rsidRDefault="00435C1A" w:rsidP="00435C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E1D69">
        <w:tab/>
      </w:r>
      <w:r w:rsidR="00D07300" w:rsidRPr="000E1D69">
        <w:tab/>
        <w:t>Observaciones generales</w:t>
      </w:r>
    </w:p>
    <w:p w:rsidR="00435C1A" w:rsidRPr="000E1D69" w:rsidRDefault="00435C1A" w:rsidP="00435C1A">
      <w:pPr>
        <w:pStyle w:val="SingleTxt"/>
        <w:spacing w:after="0" w:line="120" w:lineRule="exact"/>
        <w:rPr>
          <w:sz w:val="10"/>
        </w:rPr>
      </w:pPr>
    </w:p>
    <w:p w:rsidR="00D07300" w:rsidRPr="000E1D69" w:rsidRDefault="00D07300" w:rsidP="00435C1A">
      <w:pPr>
        <w:pStyle w:val="SingleTxt"/>
        <w:numPr>
          <w:ilvl w:val="0"/>
          <w:numId w:val="21"/>
        </w:numPr>
        <w:tabs>
          <w:tab w:val="clear" w:pos="475"/>
          <w:tab w:val="num" w:pos="1742"/>
        </w:tabs>
        <w:ind w:left="1267"/>
      </w:pPr>
      <w:r w:rsidRPr="000E1D69">
        <w:t>El Secretario General indica que los cambios propuestos en la dotación de personal reflejan la decisión de trasladar la sede de la Oficina del Enviado Especial de Nueva York a Ammán (</w:t>
      </w:r>
      <w:hyperlink r:id="rId29" w:history="1">
        <w:r w:rsidRPr="006459B3">
          <w:rPr>
            <w:rStyle w:val="Hyperlink"/>
          </w:rPr>
          <w:t>A/71/365/Add.6</w:t>
        </w:r>
      </w:hyperlink>
      <w:r w:rsidR="00171500">
        <w:t>,</w:t>
      </w:r>
      <w:r w:rsidRPr="000E1D69">
        <w:t xml:space="preserve"> </w:t>
      </w:r>
      <w:r w:rsidRPr="00171500">
        <w:t>p</w:t>
      </w:r>
      <w:r w:rsidRPr="000E1D69">
        <w:t xml:space="preserve">árr. 27), incluida la redistribución del Enviado Especial, para que esté más próximo a la zona de la Misión, el Gobierno del Yemen y otras partes interesadas de la región. A este respecto, se informó a la Comisión Consultiva, en respuesta a sus preguntas, de que, en noviembre de 2016, había 5 funcionarios de la Oficina en Ammán y 23 en Saná, y que estaba previsto desplegar 8 funcionarios en Ammán y 29 en Saná a finales de 2016. También se informó a la Comisión de que estaba previsto finalizar el traslado de la Oficina del Enviado Especial de Nueva York a Ammán, incluido el traslado del Enviado Especial, para el 31 de diciembre de 2016. </w:t>
      </w:r>
    </w:p>
    <w:p w:rsidR="00D07300" w:rsidRPr="000E1D69" w:rsidRDefault="00D07300" w:rsidP="00435C1A">
      <w:pPr>
        <w:pStyle w:val="SingleTxt"/>
        <w:numPr>
          <w:ilvl w:val="0"/>
          <w:numId w:val="21"/>
        </w:numPr>
        <w:tabs>
          <w:tab w:val="clear" w:pos="475"/>
          <w:tab w:val="num" w:pos="1742"/>
        </w:tabs>
        <w:ind w:left="1267"/>
      </w:pPr>
      <w:r w:rsidRPr="000E1D69">
        <w:t xml:space="preserve">Según el Secretario General, en términos de los trámites con el país anfitrión necesarios, se había presentado al Gobierno de Jordania, por conducto de su Misión Permanente en Nueva York, un acuerdo sobre el estatuto de la misión el 26 de julio de 2016 y su firma estaba pendiente ante la autoridad pertinente. </w:t>
      </w:r>
      <w:r w:rsidRPr="000E1D69">
        <w:rPr>
          <w:b/>
        </w:rPr>
        <w:t>La Comisión Consultiva acoge con beneplácito la propuesta de reubicación del Enviado Especial a Ammán, que está en consonancia con las recomendaciones que ha formulado en el contexto de otras misiones políticas especiales, y confía en que se haga todo lo posible por concertar el correspondiente acuerdo sobre el estatuto de la misión</w:t>
      </w:r>
      <w:r w:rsidRPr="000E1D69">
        <w:t xml:space="preserve">. </w:t>
      </w:r>
    </w:p>
    <w:p w:rsidR="00D07300" w:rsidRPr="000E1D69" w:rsidRDefault="00D07300" w:rsidP="00435C1A">
      <w:pPr>
        <w:pStyle w:val="SingleTxt"/>
        <w:numPr>
          <w:ilvl w:val="0"/>
          <w:numId w:val="21"/>
        </w:numPr>
        <w:ind w:left="1267"/>
      </w:pPr>
      <w:r w:rsidRPr="000E1D69">
        <w:t xml:space="preserve">En cuanto al estado de la contratación de las 24 plazas financiadas mediante la autorización para contraer obligaciones de gastos concedida por la Comisión Consultiva, se informó a la Comisión, en respuesta a sus preguntas, de que, al 31 de octubre de 2016, 11 de esas plazas o bien se habían cubierto o bien se estaban finalizando los procedimientos de incorporación de los candidatos seleccionados. Los procesos de selección con respecto a 4 plazas estaban en curso y las otras 9 de las 24 plazas estaban vacantes o se habían anunciado. En este sentido, también se facilitó a la Comisión información que indicaba que se había aplicado una tasa de vacantes del 17% a las plazas de contratación internacional ya existentes sobre la base de la tasa media de vacantes prevista en 2016. </w:t>
      </w:r>
    </w:p>
    <w:p w:rsidR="00D07300" w:rsidRPr="000E1D69" w:rsidRDefault="00D07300" w:rsidP="00435C1A">
      <w:pPr>
        <w:pStyle w:val="SingleTxt"/>
        <w:numPr>
          <w:ilvl w:val="0"/>
          <w:numId w:val="21"/>
        </w:numPr>
        <w:ind w:left="1267"/>
      </w:pPr>
      <w:r w:rsidRPr="000E1D69">
        <w:t xml:space="preserve">La Comisión Consultiva reconoce que la Oficina del Enviado Especial enfrenta problemas operacionales y de seguridad que influyen en el ritmo de contratación. Además, a falta de un acuerdo sobre el estatuto de la misión convenido con el Gobierno de Jordania, puede no ser prudente ni realista desplegar el número previsto de personal en Ammán. La Comisión considera también que tal vez no sean necesarias en un futuro inmediato algunas de las plazas propuestas, por ejemplo, la nueva plaza propuesta de Oficial Electoral Superior (P-5) con sede en Saná. </w:t>
      </w:r>
      <w:r w:rsidRPr="000E1D69">
        <w:rPr>
          <w:b/>
        </w:rPr>
        <w:t>Dadas las circunstancias y teniendo en cuenta el significativo aumento de la plantilla propuesta de la misión (véase el párr. 10), la Comisión Consultiva confía en que la Oficina cubra las plazas propuestas solo cuando sea realista suponer que las funciones correspondientes pueden llevarse a cabo y que se les puede prestar apoyo operacional</w:t>
      </w:r>
      <w:r w:rsidRPr="000E1D69">
        <w:t>.</w:t>
      </w:r>
    </w:p>
    <w:p w:rsidR="00D07300" w:rsidRPr="000E1D69" w:rsidRDefault="00D07300" w:rsidP="00435C1A">
      <w:pPr>
        <w:pStyle w:val="SingleTxt"/>
        <w:numPr>
          <w:ilvl w:val="0"/>
          <w:numId w:val="21"/>
        </w:numPr>
        <w:tabs>
          <w:tab w:val="clear" w:pos="475"/>
          <w:tab w:val="num" w:pos="1742"/>
        </w:tabs>
        <w:ind w:left="1267"/>
      </w:pPr>
      <w:r w:rsidRPr="000E1D69">
        <w:t xml:space="preserve">A este respecto, la Comisión Consultiva observa que en la estimación de las necesidades de recursos de personal para 2017 la propuesta refleja un factor de vacantes del 50% para las nuevas plazas del Cuadro Orgánico y del 35% para las nuevas plazas del Servicio Móvil, del Cuadro de Servicios Generales, de funcionario nacional del Cuadro Orgánico y de contratación local. </w:t>
      </w:r>
      <w:r w:rsidRPr="000E1D69">
        <w:rPr>
          <w:b/>
        </w:rPr>
        <w:t>Teniendo en cuenta los plazos de contratación imperantes para plazas de personal en la Oficina del Enviado Especial y el hecho de que sigue pendiente el acuerdo sobre el estatuto de la misión con el país anfitrión, la Comisión Consultiva recomienda que se aplique un factor de vacantes del 60% para todas las plazas nuevas del Cuadro Orgánico que han de crearse en 2017. Los recursos conexos no relacionados con puestos deberán ajustarse en consecuencia</w:t>
      </w:r>
      <w:r w:rsidRPr="000E1D69">
        <w:t xml:space="preserve">. </w:t>
      </w:r>
    </w:p>
    <w:p w:rsidR="001D1ECB" w:rsidRPr="00835778" w:rsidRDefault="001D1ECB" w:rsidP="00835778">
      <w:pPr>
        <w:pStyle w:val="SingleTxt"/>
        <w:spacing w:after="0" w:line="120" w:lineRule="exact"/>
        <w:rPr>
          <w:sz w:val="10"/>
        </w:rPr>
      </w:pPr>
    </w:p>
    <w:p w:rsidR="00835778" w:rsidRDefault="00835778" w:rsidP="004D2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Pr>
          <w:lang w:val="es-ES_tradnl"/>
        </w:rPr>
        <w:tab/>
      </w:r>
      <w:r>
        <w:rPr>
          <w:lang w:val="es-ES_tradnl"/>
        </w:rPr>
        <w:tab/>
      </w:r>
      <w:r w:rsidRPr="008E081B">
        <w:rPr>
          <w:lang w:val="es-ES_tradnl"/>
        </w:rPr>
        <w:t>Propuestas específicas de dotación de personal – componentes sustantivos</w:t>
      </w:r>
    </w:p>
    <w:p w:rsidR="00835778" w:rsidRPr="008E081B" w:rsidRDefault="00835778" w:rsidP="004D26EA">
      <w:pPr>
        <w:pStyle w:val="SingleTxt"/>
        <w:spacing w:after="0" w:line="120" w:lineRule="exact"/>
        <w:rPr>
          <w:sz w:val="10"/>
          <w:lang w:val="es-ES_tradnl"/>
        </w:rPr>
      </w:pPr>
    </w:p>
    <w:p w:rsidR="00835778" w:rsidRPr="008E081B" w:rsidRDefault="00835778" w:rsidP="00257063">
      <w:pPr>
        <w:pStyle w:val="SingleTxt"/>
        <w:numPr>
          <w:ilvl w:val="0"/>
          <w:numId w:val="23"/>
        </w:numPr>
        <w:tabs>
          <w:tab w:val="clear" w:pos="475"/>
          <w:tab w:val="num" w:pos="1742"/>
        </w:tabs>
        <w:ind w:left="1267"/>
        <w:rPr>
          <w:b/>
          <w:lang w:val="es-ES_tradnl"/>
        </w:rPr>
      </w:pPr>
      <w:r w:rsidRPr="008E081B">
        <w:rPr>
          <w:lang w:val="es-ES_tradnl"/>
        </w:rPr>
        <w:t xml:space="preserve">En lo que respecta a las propuestas de dotación de personal a fin de aumentar la capacidad sustantiva de la Oficina y, en particular, la propuesta de que la nueva Sección de Asuntos Políticos incluya 18 plazas, 7 en Ammán y las 11 restantes en Saná, se informó a la Comisión Consultiva, en respuesta a sus preguntas, de que el personal destacado en Saná se encargaría de mantener contactos periódicos con los partidos políticos del Yemen y los movimientos y las organizaciones de la sociedad civil, mientras que el personal destacado en Ammán se encargaría de mantener contactos periódicos con los interlocutores radicados fuera del Yemen. </w:t>
      </w:r>
      <w:r w:rsidRPr="008E081B">
        <w:rPr>
          <w:b/>
          <w:lang w:val="es-ES_tradnl"/>
        </w:rPr>
        <w:t>La Comisión Consultiva considera que la cuestión de la ubicación de la capacidad política de la Oficina debería seguir siendo objeto de un examen minucioso y ajustarse en función de los acontecimientos políticos y de seguridad sobre el terreno.</w:t>
      </w:r>
    </w:p>
    <w:p w:rsidR="00835778" w:rsidRPr="008E081B" w:rsidRDefault="00835778" w:rsidP="00835778">
      <w:pPr>
        <w:pStyle w:val="SingleTxt"/>
        <w:numPr>
          <w:ilvl w:val="0"/>
          <w:numId w:val="23"/>
        </w:numPr>
        <w:ind w:left="1267"/>
        <w:rPr>
          <w:b/>
          <w:lang w:val="es-ES_tradnl"/>
        </w:rPr>
      </w:pPr>
      <w:r w:rsidRPr="008E081B">
        <w:rPr>
          <w:lang w:val="es-ES_tradnl"/>
        </w:rPr>
        <w:t xml:space="preserve">El informe del Secretario General también incluye una propuesta de establecer una nueva Sección del Sector de la Seguridad que se encargue de prestar apoyo al Comité para la Reducción de las Tensiones y la Coordinación, que se estableció como resultado de un acuerdo alcanzado por las partes yemeníes. La plantilla total propuesta de la nueva sección para 2017 comprende 4 plazas en Ammán y 11 plazas en Saná, lo que supone la creación de 5 nuevas plazas de Oficial de Enlace (1 P-4, 2 P-3 y 2 plazas de Funcionario Nacional del Cuadro Orgánico). Sobre la base de la información disponible, la Comisión Consultiva observa que todas estas nuevas plazas se proponen con el mismo propósito básico: proporcionar asesoramiento técnico a las partes yemeníes sobre los acuerdos de cesación del fuego, la retirada negociada de las fuerzas, la entrega de armas pesadas y otros arreglos de seguridad convenidos por las partes. </w:t>
      </w:r>
      <w:r w:rsidRPr="008E081B">
        <w:rPr>
          <w:b/>
          <w:lang w:val="es-ES_tradnl"/>
        </w:rPr>
        <w:t>La Comisión Consultiva no está plenamente convencida de la justificación proporcionada para el número de plazas de Oficial de Enlace propuesto para la Sección del Sector de la Seguridad y, por lo tanto, recomienda que no se apruebe la creación de una de las nuevas plazas propuestas de Oficial de Enlace de categoría P-3. Los recursos conexos no relacionados con puestos deberán ajustarse en consecuencia</w:t>
      </w:r>
      <w:r w:rsidRPr="00AC3D06">
        <w:rPr>
          <w:lang w:val="es-ES_tradnl"/>
        </w:rPr>
        <w:t>.</w:t>
      </w:r>
    </w:p>
    <w:p w:rsidR="00835778" w:rsidRDefault="00835778">
      <w:pPr>
        <w:suppressAutoHyphens w:val="0"/>
        <w:spacing w:after="200" w:line="276" w:lineRule="auto"/>
        <w:rPr>
          <w:kern w:val="14"/>
          <w:lang w:val="es-ES_tradnl"/>
        </w:rPr>
      </w:pPr>
      <w:r>
        <w:rPr>
          <w:lang w:val="es-ES_tradnl"/>
        </w:rPr>
        <w:br w:type="page"/>
      </w:r>
    </w:p>
    <w:p w:rsidR="00835778" w:rsidRPr="008E081B" w:rsidRDefault="00835778" w:rsidP="00835778">
      <w:pPr>
        <w:pStyle w:val="SingleTxt"/>
        <w:numPr>
          <w:ilvl w:val="0"/>
          <w:numId w:val="23"/>
        </w:numPr>
        <w:ind w:left="1267"/>
        <w:rPr>
          <w:b/>
          <w:lang w:val="es-ES_tradnl"/>
        </w:rPr>
      </w:pPr>
      <w:r w:rsidRPr="008E081B">
        <w:rPr>
          <w:lang w:val="es-ES_tradnl"/>
        </w:rPr>
        <w:t>La propuesta de crear una nueva Oficina del Jefe Adjunto de la Misión en Ammán constarí</w:t>
      </w:r>
      <w:r>
        <w:rPr>
          <w:lang w:val="es-ES_tradnl"/>
        </w:rPr>
        <w:t>a de seis plazas para 2017 (1 SS</w:t>
      </w:r>
      <w:r w:rsidRPr="008E081B">
        <w:rPr>
          <w:lang w:val="es-ES_tradnl"/>
        </w:rPr>
        <w:t xml:space="preserve">G, 1 P-5, 2 P-4, 1 del Servicio Móvil y 1 de contratación local). Se informó a la Comisión Consultiva, en respuesta a sus preguntas, de que la propuesta de reclasificación y redistribución de la plaza existente de Director (D-2) en una plaza de Subsecretario General obedece a la mayor complejidad de la situación militar y política en el Yemen y a la necesidad de una mayor capacidad de gestión y liderazgo. </w:t>
      </w:r>
      <w:r w:rsidRPr="008E081B">
        <w:rPr>
          <w:b/>
          <w:lang w:val="es-ES_tradnl"/>
        </w:rPr>
        <w:t>La Comisión Consultiva no tiene objeciones a la creación de la nueva Oficina del Jefe Adjunto de la Misión. Sin embargo, no está convencida de que el complemento total de la dotación de personal propuesto para la Oficina del Enviado Especial sea necesario en este momento. A ese respecto, la Comisión considera que la propuesta de creación de la nueva plaza de Auxiliar Administrativo (Servicio Móvil) para prestar apoyo al Jefe Adjunto de la Misión no está debidamente justificada y recomienda que no se apruebe la creación de esa plaza. Los recursos conexos no relacionados con puestos deberán ajustarse en consecuencia</w:t>
      </w:r>
      <w:r w:rsidRPr="00AC3D06">
        <w:rPr>
          <w:lang w:val="es-ES_tradnl"/>
        </w:rPr>
        <w:t>.</w:t>
      </w:r>
    </w:p>
    <w:p w:rsidR="00835778" w:rsidRDefault="00835778" w:rsidP="00835778">
      <w:pPr>
        <w:pStyle w:val="SingleTxt"/>
        <w:keepNext/>
        <w:keepLines/>
        <w:numPr>
          <w:ilvl w:val="0"/>
          <w:numId w:val="23"/>
        </w:numPr>
        <w:ind w:left="1267"/>
        <w:rPr>
          <w:b/>
          <w:lang w:val="es-ES_tradnl"/>
        </w:rPr>
      </w:pPr>
      <w:r w:rsidRPr="008E081B">
        <w:rPr>
          <w:lang w:val="es-ES_tradnl"/>
        </w:rPr>
        <w:t>La Comisión Consultiva observa también que la Oficina mantendrá dos plazas sustantivas existentes (1 P-4 y 1 del Cuadro de Servicios Generales (otras categorías)) en Nueva York para prestar apoyo a la Oficina del Enviado Especial mediante la colaboración con el Consejo de Seguridad, los Estados Miembros y otras partes interesadas en Nueva York (</w:t>
      </w:r>
      <w:hyperlink r:id="rId30" w:history="1">
        <w:r w:rsidRPr="00793297">
          <w:rPr>
            <w:rStyle w:val="Hyperlink"/>
            <w:lang w:val="es-ES_tradnl"/>
          </w:rPr>
          <w:t>A/71/365/Add.1</w:t>
        </w:r>
      </w:hyperlink>
      <w:r>
        <w:rPr>
          <w:lang w:val="es-ES_tradnl"/>
        </w:rPr>
        <w:t>, párr.</w:t>
      </w:r>
      <w:r w:rsidRPr="008E081B">
        <w:rPr>
          <w:lang w:val="es-ES_tradnl"/>
        </w:rPr>
        <w:t xml:space="preserve"> 38). Habida cuenta de que en la Sede queda solo una plaza del Cuadro Orgánico, la Comisión es de la opinión de que sería excesivo mantener la plaza del Cuadro de Servicios Generales para la prestación de asistencia administrativa. </w:t>
      </w:r>
      <w:r w:rsidRPr="008E081B">
        <w:rPr>
          <w:b/>
          <w:lang w:val="es-ES_tradnl"/>
        </w:rPr>
        <w:t>La Comisión Consultiva considera que cualesquiera necesidades de apoyo administrativo para el resto de la capacidad de la Oficina del Enviado Especial en la Sede deberán ser atendidas por la capacidad existente en el Departamento de Asuntos Políticos. Por consiguiente, la Comisión recomienda la supresión de la plaza del Cuadro de Servicios Generales (otras categorías) actualmente existente en Nueva York. Los recursos conexos no relacionados con puestos deberán ajustarse en consecuencia</w:t>
      </w:r>
      <w:r w:rsidRPr="00AC3D06">
        <w:rPr>
          <w:lang w:val="es-ES_tradnl"/>
        </w:rPr>
        <w:t>.</w:t>
      </w:r>
    </w:p>
    <w:p w:rsidR="00835778" w:rsidRPr="008E081B" w:rsidRDefault="00835778" w:rsidP="004D26EA">
      <w:pPr>
        <w:pStyle w:val="SingleTxt"/>
        <w:spacing w:after="0" w:line="120" w:lineRule="exact"/>
        <w:rPr>
          <w:b/>
          <w:sz w:val="10"/>
          <w:lang w:val="es-ES_tradnl"/>
        </w:rPr>
      </w:pPr>
    </w:p>
    <w:p w:rsidR="00835778" w:rsidRPr="008E081B" w:rsidRDefault="00835778" w:rsidP="004D2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i/>
          <w:lang w:val="es-ES_tradnl"/>
        </w:rPr>
      </w:pPr>
      <w:r>
        <w:rPr>
          <w:lang w:val="es-ES_tradnl"/>
        </w:rPr>
        <w:tab/>
      </w:r>
      <w:r>
        <w:rPr>
          <w:lang w:val="es-ES_tradnl"/>
        </w:rPr>
        <w:tab/>
      </w:r>
      <w:r w:rsidRPr="008E081B">
        <w:rPr>
          <w:lang w:val="es-ES_tradnl"/>
        </w:rPr>
        <w:t>Propuestas específicas de dotación de personal – componentes de apoyo</w:t>
      </w:r>
    </w:p>
    <w:p w:rsidR="00835778" w:rsidRPr="008E081B" w:rsidRDefault="00835778" w:rsidP="004D26EA">
      <w:pPr>
        <w:pStyle w:val="SingleTxt"/>
        <w:tabs>
          <w:tab w:val="right" w:pos="1022"/>
        </w:tabs>
        <w:spacing w:after="0" w:line="120" w:lineRule="exact"/>
        <w:ind w:right="1260"/>
        <w:rPr>
          <w:i/>
          <w:sz w:val="10"/>
          <w:lang w:val="es-ES_tradnl"/>
        </w:rPr>
      </w:pPr>
    </w:p>
    <w:p w:rsidR="00835778" w:rsidRPr="008E081B" w:rsidRDefault="00835778" w:rsidP="00835778">
      <w:pPr>
        <w:pStyle w:val="SingleTxt"/>
        <w:numPr>
          <w:ilvl w:val="0"/>
          <w:numId w:val="23"/>
        </w:numPr>
        <w:ind w:left="1267"/>
        <w:rPr>
          <w:b/>
          <w:lang w:val="es-ES_tradnl"/>
        </w:rPr>
      </w:pPr>
      <w:r w:rsidRPr="008E081B">
        <w:rPr>
          <w:lang w:val="es-ES_tradnl"/>
        </w:rPr>
        <w:t>En el informe del Secretario General se señala que el componente de apoyo a la Oficina del Enviado Especial estará basado en los principios de una presencia moderada, flexible y multifuncional, la prestación de apoyo integrado a la Misión mediante el equipo de las Naciones Unidas en el Yemen y la necesidad de seguir utilizando los servicios de la Oficina Conjunta de Apoyo de Kuwait de apoyo transaccional en materia de recursos humanos, viajes y finanzas (</w:t>
      </w:r>
      <w:hyperlink r:id="rId31" w:history="1">
        <w:r w:rsidRPr="00BC3D43">
          <w:rPr>
            <w:rStyle w:val="Hyperlink"/>
            <w:lang w:val="es-ES_tradnl"/>
          </w:rPr>
          <w:t>A/71/365/Add.6</w:t>
        </w:r>
      </w:hyperlink>
      <w:r w:rsidRPr="008E081B">
        <w:rPr>
          <w:lang w:val="es-ES_tradnl"/>
        </w:rPr>
        <w:t>, párr. 42). Las propuestas de dotación de personal de apoyo a la Misión comprenden la creación de 25 nuevas plazas y la redistribución entrante de una plaza (véase el párr. 10), con un aumento de la plantilla de apoyo a la misión de 10 plazas aprobadas para 2016 a 36 plazas propuestas en 2017 (</w:t>
      </w:r>
      <w:r>
        <w:rPr>
          <w:i/>
          <w:lang w:val="es-ES_tradnl"/>
        </w:rPr>
        <w:t>ibi</w:t>
      </w:r>
      <w:r w:rsidRPr="0017172E">
        <w:rPr>
          <w:i/>
          <w:lang w:val="es-ES_tradnl"/>
        </w:rPr>
        <w:t>d</w:t>
      </w:r>
      <w:r w:rsidRPr="008E081B">
        <w:rPr>
          <w:lang w:val="es-ES_tradnl"/>
        </w:rPr>
        <w:t xml:space="preserve">., párr. 41). </w:t>
      </w:r>
    </w:p>
    <w:p w:rsidR="00835778" w:rsidRPr="008E081B" w:rsidRDefault="00835778" w:rsidP="00835778">
      <w:pPr>
        <w:pStyle w:val="SingleTxt"/>
        <w:numPr>
          <w:ilvl w:val="0"/>
          <w:numId w:val="23"/>
        </w:numPr>
        <w:ind w:left="1267"/>
        <w:rPr>
          <w:b/>
          <w:lang w:val="es-ES_tradnl"/>
        </w:rPr>
      </w:pPr>
      <w:r w:rsidRPr="008E081B">
        <w:rPr>
          <w:lang w:val="es-ES_tradnl"/>
        </w:rPr>
        <w:t xml:space="preserve">En concreto, la propuesta comprende el establecimiento de ocho nuevas plazas del Servicio Móvil (5 plazas en Ammán y 3 plazas en Saná). También comprenden el establecimiento de una plaza de Auxiliar de Administración de Bienes y una de Auxiliar de Reclamaciones, ambas en Ammán, dentro de la Administración de Bienes y la Dependencia Central de Almacenes. </w:t>
      </w:r>
      <w:r w:rsidRPr="008E081B">
        <w:rPr>
          <w:b/>
          <w:lang w:val="es-ES_tradnl"/>
        </w:rPr>
        <w:t xml:space="preserve">La Comisión Consultiva no está convencida de que el conjunto de la dotación de personal propuesta en Ammán (49 plazas) justifique el establecimiento de este nivel de capacidad para desempeñar esas funciones, habida cuenta de la pequeña cantidad de bienes existentes en ese lugar en esta etapa inicial de las operaciones. Por lo tanto, la Comisión recomienda que no se apruebe la creación de una de las dos plazas del Servicio Móvil. Los recursos conexos no relacionados con puestos deberán ajustarse en consecuencia. </w:t>
      </w:r>
      <w:r w:rsidRPr="008E081B">
        <w:rPr>
          <w:lang w:val="es-ES_tradnl"/>
        </w:rPr>
        <w:t xml:space="preserve">Del mismo modo, la propuesta prevé la creación de la Oficina del Jefe de Apoyo a la Misión con una plantilla propuesta de ocho plazas, incluidas seis plazas en Ammán y dos plazas en Saná. La propuesta también incluye la redistribución de una plaza existente del Servicio Móvil de la Oficina de Apoyo Político en Saná en la Oficina del Jefe de Apoyo a la Misión en Ammán. </w:t>
      </w:r>
      <w:r w:rsidRPr="008E081B">
        <w:rPr>
          <w:b/>
          <w:lang w:val="es-ES_tradnl"/>
        </w:rPr>
        <w:t>La Comisión Consultiva no ve la ventaja de esta propuesta, teniendo en cuenta en particular la necesidad expresa de la Oficina de fortalecer su capacidad sustantiva, y recomienda que no se apruebe la propuesta de redistribución. Si la Oficina decidiera que la plaza ya no es necesaria, se propone su supresión en la próxima propuesta presupuestaria.</w:t>
      </w:r>
    </w:p>
    <w:p w:rsidR="00835778" w:rsidRPr="008E081B" w:rsidRDefault="00835778" w:rsidP="00835778">
      <w:pPr>
        <w:pStyle w:val="SingleTxt"/>
        <w:numPr>
          <w:ilvl w:val="0"/>
          <w:numId w:val="23"/>
        </w:numPr>
        <w:ind w:left="1267"/>
        <w:rPr>
          <w:b/>
          <w:lang w:val="es-ES_tradnl"/>
        </w:rPr>
      </w:pPr>
      <w:r w:rsidRPr="0017172E">
        <w:rPr>
          <w:spacing w:val="2"/>
          <w:lang w:val="es-ES_tradnl"/>
        </w:rPr>
        <w:t xml:space="preserve">Además, la propuesta comprende la creación de dos plazas de contratación local con sede en Kuwait en la Oficina Conjunta de Apoyo de Kuwait: una en la propuesta nueva Sección de Finanzas y Presupuesto y otra en la propuesta nueva Sección de Recursos Humanos. En el informe se señala que esto forma parte de los esfuerzos de la Oficina para lograr una presencia pequeña de los servicios administrativos. La Comisión Consultiva observa que, además de con estas nuevas plazas, la Sección de Recursos Humanos contará con otras tres nuevas plazas (1 P-4, 1 del Servicio Móvil y 1 de contratación local), con sede en Ammán. La recién creada Sección de Finanzas y Presupuesto contará con otras dos plazas nuevas, 1 P-4 en Ammán y 1 de Funcionario Nacional del Cuadro Orgánico en Saná. </w:t>
      </w:r>
      <w:r w:rsidRPr="0017172E">
        <w:rPr>
          <w:b/>
          <w:spacing w:val="2"/>
          <w:lang w:val="es-ES_tradnl"/>
        </w:rPr>
        <w:t xml:space="preserve">A ese respecto, la Comisión Consultiva recuerda los comentarios y las observaciones que ha hecho en los últimos años y reitera su opinión de que sería útil realizar una verificación y un examen independientes de la totalidad de los costos y beneficios cualitativos y cuantitativos de la Oficina de Apoyo (véase </w:t>
      </w:r>
      <w:hyperlink r:id="rId32" w:history="1">
        <w:r w:rsidRPr="0017172E">
          <w:rPr>
            <w:rStyle w:val="Hyperlink"/>
            <w:b/>
            <w:spacing w:val="2"/>
            <w:lang w:val="es-ES_tradnl"/>
          </w:rPr>
          <w:t>A/69/628</w:t>
        </w:r>
      </w:hyperlink>
      <w:r w:rsidRPr="0017172E">
        <w:rPr>
          <w:b/>
          <w:spacing w:val="2"/>
          <w:lang w:val="es-ES_tradnl"/>
        </w:rPr>
        <w:t xml:space="preserve">, párr. 56; </w:t>
      </w:r>
      <w:hyperlink r:id="rId33" w:history="1">
        <w:r w:rsidRPr="0017172E">
          <w:rPr>
            <w:rStyle w:val="Hyperlink"/>
            <w:b/>
            <w:spacing w:val="2"/>
            <w:lang w:val="es-ES_tradnl"/>
          </w:rPr>
          <w:t>A/70/7/Add.10</w:t>
        </w:r>
      </w:hyperlink>
      <w:r w:rsidRPr="0017172E">
        <w:rPr>
          <w:b/>
          <w:spacing w:val="2"/>
          <w:lang w:val="es-ES_tradnl"/>
        </w:rPr>
        <w:t xml:space="preserve">, párr. 58; y </w:t>
      </w:r>
      <w:hyperlink r:id="rId34" w:history="1">
        <w:r w:rsidRPr="0017172E">
          <w:rPr>
            <w:rStyle w:val="Hyperlink"/>
            <w:b/>
            <w:spacing w:val="2"/>
            <w:lang w:val="es-ES_tradnl"/>
          </w:rPr>
          <w:t>A/71/595/Add.1</w:t>
        </w:r>
      </w:hyperlink>
      <w:r w:rsidRPr="0017172E">
        <w:rPr>
          <w:b/>
          <w:spacing w:val="2"/>
          <w:lang w:val="es-ES_tradnl"/>
        </w:rPr>
        <w:t>, párr. 23). Habida cuenta de todo lo anterior, la Comisión recomienda que no se apruebe la creación propuesta de dos plazas de contratación local del componente de apoyo en la Oficina Conjunta de Apoyo de Kuwait. Los recursos conexos no relacionados con puestos deberán ajustarse en consecuencia.</w:t>
      </w:r>
      <w:r w:rsidRPr="0017172E">
        <w:rPr>
          <w:spacing w:val="2"/>
          <w:lang w:val="es-ES_tradnl"/>
        </w:rPr>
        <w:t xml:space="preserve"> La Comisión presenta sus observaciones y recomendaciones con respecto a la Oficina Conjunta de Apoyo de Kuwait y otras plantillas en Kuwait en su informe principal sobre las estimaciones respecto de misiones políticas especiales y buenos oficios y otras iniciativas políticas autorizadas por la Asamblea General o por el Consejo de Seguridad (</w:t>
      </w:r>
      <w:hyperlink r:id="rId35" w:history="1">
        <w:r w:rsidRPr="0017172E">
          <w:rPr>
            <w:rStyle w:val="Hyperlink"/>
            <w:spacing w:val="2"/>
            <w:lang w:val="es-ES_tradnl"/>
          </w:rPr>
          <w:t>A/71/595</w:t>
        </w:r>
      </w:hyperlink>
      <w:r w:rsidRPr="0017172E">
        <w:rPr>
          <w:spacing w:val="2"/>
          <w:lang w:val="es-ES_tradnl"/>
        </w:rPr>
        <w:t>)</w:t>
      </w:r>
      <w:r w:rsidRPr="008E081B">
        <w:rPr>
          <w:lang w:val="es-ES_tradnl"/>
        </w:rPr>
        <w:t>.</w:t>
      </w:r>
    </w:p>
    <w:p w:rsidR="00835778" w:rsidRPr="008E081B" w:rsidRDefault="00835778" w:rsidP="00835778">
      <w:pPr>
        <w:pStyle w:val="SingleTxt"/>
        <w:numPr>
          <w:ilvl w:val="0"/>
          <w:numId w:val="23"/>
        </w:numPr>
        <w:ind w:left="1267"/>
        <w:rPr>
          <w:b/>
          <w:lang w:val="es-ES_tradnl"/>
        </w:rPr>
      </w:pPr>
      <w:r w:rsidRPr="008E081B">
        <w:rPr>
          <w:lang w:val="es-ES_tradnl"/>
        </w:rPr>
        <w:t>También se proponen otras tres nuevas plazas relacionadas con la prestación de apoyo, con sede en Nueva York, a saber una plaza de Oficial de Recursos Humanos (P-4), una plaza</w:t>
      </w:r>
      <w:r>
        <w:rPr>
          <w:lang w:val="es-ES_tradnl"/>
        </w:rPr>
        <w:t xml:space="preserve"> </w:t>
      </w:r>
      <w:r w:rsidRPr="008E081B">
        <w:rPr>
          <w:lang w:val="es-ES_tradnl"/>
        </w:rPr>
        <w:t xml:space="preserve">de Oficial de Planificación de Adquisiciones y Logística (P-3), ambas en el Departamento de Apoyo a las Actividades sobre el Terreno, y una plaza de Auxiliar de Presupuesto por Programas (Cuadro de Servicios Generales (otras categorías)), ambas en el Departamento de Gestión. </w:t>
      </w:r>
      <w:r w:rsidRPr="008E081B">
        <w:rPr>
          <w:b/>
          <w:lang w:val="es-ES_tradnl"/>
        </w:rPr>
        <w:t>Si bien reconoce que la creación o el fortalecimiento de las misiones políticas especiales en el terreno imponen una carga de trabajo adicional en las oficinas de la Sede encargadas de prestar apoyo a esas misiones, la Comisión Consultiva considera que la propuesta actual no ha justificado en medida suficiente la necesidad de ese nivel de apoyo. Por lo tanto, la Comisión apoya la creación de las plazas de Oficial de Adquisiciones y Logística (P-3) y Auxiliar de Presupuesto por Programas (Cuadro de Servicios Generales (otras categorías)); sin embargo, dado que también se propone la creación de una capacidad para las funciones de recursos humanos en la Oficina en Ammán (véase el párr. 22), la Comisión recomienda que no se apruebe la creación de la plaza de Oficial de Recursos Humanos (P-4) en la Sede. Los recursos conexos no relacionados con puestos deberán ajustarse en consecuencia.</w:t>
      </w:r>
    </w:p>
    <w:p w:rsidR="00835778" w:rsidRPr="008E081B" w:rsidRDefault="00835778" w:rsidP="00835778">
      <w:pPr>
        <w:pStyle w:val="SingleTxt"/>
        <w:numPr>
          <w:ilvl w:val="0"/>
          <w:numId w:val="24"/>
        </w:numPr>
        <w:ind w:left="1267"/>
        <w:rPr>
          <w:lang w:val="es-ES_tradnl"/>
        </w:rPr>
      </w:pPr>
      <w:r w:rsidRPr="008E081B">
        <w:rPr>
          <w:lang w:val="es-ES_tradnl"/>
        </w:rPr>
        <w:t xml:space="preserve">En general, en cada uno de los componentes de la Misión (sustantivo, de seguridad y de apoyo), la Comisión Consultiva observa un número relativamente pequeño de plazas de contratación local como proporción del total de la plantilla propuesta de 113 plazas (7 plazas de Funcionario Nacional del Cuadro Orgánico y 26 plazas de contratación local). Como cuestión de principio general, la Comisión alienta a que se aproveche la capacidad local en la mayor medida posible en los emplazamientos de la misión. </w:t>
      </w:r>
      <w:r w:rsidRPr="008E081B">
        <w:rPr>
          <w:b/>
          <w:lang w:val="es-ES_tradnl"/>
        </w:rPr>
        <w:t xml:space="preserve">En el caso de la Oficina del Enviado Especial, la Comisión Consultiva es de la opinión de que podría hacerse un mayor uso de las capacidades locales. La Comisión es de la opinión de que debería llevarse a cabo un examen para determinar cuáles de esas funciones con sede en Ammán o Saná podrían ser desempeñadas por personal de contratación local y espera con interés que el resultado de ese análisis se refleje en las propuestas de dotación de personal de la Oficina del Enviado Especial para 2018 </w:t>
      </w:r>
      <w:r w:rsidRPr="008E081B">
        <w:rPr>
          <w:lang w:val="es-ES_tradnl"/>
        </w:rPr>
        <w:t xml:space="preserve">(véanse también en </w:t>
      </w:r>
      <w:hyperlink r:id="rId36" w:history="1">
        <w:r w:rsidRPr="00BC3D43">
          <w:rPr>
            <w:rStyle w:val="Hyperlink"/>
            <w:lang w:val="es-ES_tradnl"/>
          </w:rPr>
          <w:t>A/71/595</w:t>
        </w:r>
      </w:hyperlink>
      <w:r w:rsidRPr="008E081B">
        <w:rPr>
          <w:lang w:val="es-ES_tradnl"/>
        </w:rPr>
        <w:t xml:space="preserve"> las observaciones generales de la Comisión relativas a la nacionalización de plazas en las misiones políticas especiales).</w:t>
      </w:r>
    </w:p>
    <w:p w:rsidR="00835778" w:rsidRPr="008E081B" w:rsidRDefault="00835778" w:rsidP="00835778">
      <w:pPr>
        <w:pStyle w:val="SingleTxt"/>
        <w:numPr>
          <w:ilvl w:val="0"/>
          <w:numId w:val="24"/>
        </w:numPr>
        <w:ind w:left="1267"/>
        <w:rPr>
          <w:lang w:val="es-ES_tradnl"/>
        </w:rPr>
      </w:pPr>
      <w:r w:rsidRPr="008E081B">
        <w:rPr>
          <w:b/>
          <w:lang w:val="es-ES_tradnl"/>
        </w:rPr>
        <w:t>Con sujeción a las observaciones y recomendaciones que figuran en los párrafos anteriores, la Comisión Consultiva recomienda que la Asamblea General apruebe las propuestas del Secretario General en relación con la plantilla propuesta de la Oficina del Enviado Especial pare el Yemen</w:t>
      </w:r>
      <w:r w:rsidRPr="008E081B">
        <w:rPr>
          <w:lang w:val="es-ES_tradnl"/>
        </w:rPr>
        <w:t>.</w:t>
      </w:r>
    </w:p>
    <w:p w:rsidR="00835778" w:rsidRPr="008E081B" w:rsidRDefault="00835778" w:rsidP="004D26EA">
      <w:pPr>
        <w:pStyle w:val="SingleTxt"/>
        <w:tabs>
          <w:tab w:val="right" w:pos="1022"/>
        </w:tabs>
        <w:spacing w:after="0" w:line="120" w:lineRule="exact"/>
        <w:ind w:right="1260"/>
        <w:rPr>
          <w:b/>
          <w:sz w:val="10"/>
          <w:lang w:val="es-ES_tradnl"/>
        </w:rPr>
      </w:pPr>
    </w:p>
    <w:p w:rsidR="00835778" w:rsidRPr="008E081B" w:rsidRDefault="00835778" w:rsidP="004D2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i/>
          <w:lang w:val="es-ES_tradnl"/>
        </w:rPr>
      </w:pPr>
      <w:r>
        <w:rPr>
          <w:lang w:val="es-ES_tradnl"/>
        </w:rPr>
        <w:tab/>
      </w:r>
      <w:r>
        <w:rPr>
          <w:lang w:val="es-ES_tradnl"/>
        </w:rPr>
        <w:tab/>
      </w:r>
      <w:r w:rsidRPr="008E081B">
        <w:rPr>
          <w:lang w:val="es-ES_tradnl"/>
        </w:rPr>
        <w:t xml:space="preserve">Observaciones y recomendaciones sobre los gastos operacionales </w:t>
      </w:r>
    </w:p>
    <w:p w:rsidR="00835778" w:rsidRPr="008E081B" w:rsidRDefault="00835778" w:rsidP="004D26EA">
      <w:pPr>
        <w:pStyle w:val="SingleTxt"/>
        <w:tabs>
          <w:tab w:val="right" w:pos="1022"/>
        </w:tabs>
        <w:spacing w:after="0" w:line="120" w:lineRule="exact"/>
        <w:ind w:right="1260"/>
        <w:rPr>
          <w:b/>
          <w:sz w:val="10"/>
          <w:lang w:val="es-ES_tradnl"/>
        </w:rPr>
      </w:pPr>
    </w:p>
    <w:p w:rsidR="00835778" w:rsidRPr="008E081B" w:rsidRDefault="00835778" w:rsidP="00835778">
      <w:pPr>
        <w:pStyle w:val="SingleTxt"/>
        <w:numPr>
          <w:ilvl w:val="0"/>
          <w:numId w:val="24"/>
        </w:numPr>
        <w:ind w:left="1267"/>
        <w:rPr>
          <w:b/>
          <w:lang w:val="es-ES_tradnl"/>
        </w:rPr>
      </w:pPr>
      <w:r w:rsidRPr="008E081B">
        <w:rPr>
          <w:lang w:val="es-ES_tradnl"/>
        </w:rPr>
        <w:t>Los recursos propuestos para los gastos operacionales de la Oficina del Envi</w:t>
      </w:r>
      <w:r>
        <w:rPr>
          <w:lang w:val="es-ES_tradnl"/>
        </w:rPr>
        <w:t>ado Especial ascienden a 6.574.4</w:t>
      </w:r>
      <w:r w:rsidRPr="008E081B">
        <w:rPr>
          <w:lang w:val="es-ES_tradnl"/>
        </w:rPr>
        <w:t xml:space="preserve">00 dólares, lo que supone un aumento de 3.649.100 dólares respecto de la consignación para 2016 (véase el cuadro 2). Las principales diferencias entre las necesidades propuestas para 2017 y los recursos aprobados se refieren al aumento de las necesidades en la partida de instalaciones e infraestructura (2.154.600 dólares) y transporte terrestre (1.140.900 dólares). Se informó a la Comisión Consultiva de que el aumento de las necesidades en la partida de instalaciones e infraestructura incluía gastos por concepto de alquiler de locales; servicios de reforma y renovación de locales; adquisición de instalaciones prefabricadas; adquisición de mobiliario y equipo de oficina para los nuevos funcionarios con sede en Ammán y Saná; y servicios de mantenimiento En lo que respecta al transporte terrestre, el aumento se debe a la propuesta de adquisición de cuatro vehículos blindados para uso en Saná y nueve vehículos sin blindar; el alquiler de vehículos durante visitas de refuerzo; y aumentos de los gastos de seguros, reparaciones y funcionamiento de vehículos. </w:t>
      </w:r>
    </w:p>
    <w:p w:rsidR="00835778" w:rsidRDefault="00835778">
      <w:pPr>
        <w:suppressAutoHyphens w:val="0"/>
        <w:spacing w:after="200" w:line="276" w:lineRule="auto"/>
        <w:rPr>
          <w:kern w:val="14"/>
          <w:lang w:val="es-ES_tradnl"/>
        </w:rPr>
      </w:pPr>
      <w:r>
        <w:rPr>
          <w:lang w:val="es-ES_tradnl"/>
        </w:rPr>
        <w:br w:type="page"/>
      </w:r>
    </w:p>
    <w:p w:rsidR="00835778" w:rsidRPr="008E081B" w:rsidRDefault="00835778" w:rsidP="00835778">
      <w:pPr>
        <w:pStyle w:val="SingleTxt"/>
        <w:numPr>
          <w:ilvl w:val="0"/>
          <w:numId w:val="24"/>
        </w:numPr>
        <w:ind w:left="1267"/>
        <w:rPr>
          <w:b/>
          <w:lang w:val="es-ES_tradnl"/>
        </w:rPr>
      </w:pPr>
      <w:r w:rsidRPr="008E081B">
        <w:rPr>
          <w:lang w:val="es-ES_tradnl"/>
        </w:rPr>
        <w:t xml:space="preserve">Se proponen recursos por un monto de 1.059.800 dólares a fin de sufragar los viajes oficiales del Enviado Especial y su personal para celebrar consultas con agentes regionales y Estados Miembros y de atender a las necesidades relacionadas con la capacitación, lo cual supone una pequeña disminución de 75.200 dólares en comparación con el monto aprobado con ese fin en 2016. En respuesta a su solicitud, se proporcionó a la Comisión Consultiva un desglose de los viajes realizados en 2016, que refleja unos 28 viajes realizados de Nueva York a la región y otros lugares para realizar consultas políticas. En lo que respecta al cumplimiento por la Oficina de la norma de compra de pasajes con 16 días de antelación, la Comisión observa que en ninguno de los más de 40 viajes realizados por el personal de la Oficina en 2016 se cumplió dicha norma. </w:t>
      </w:r>
      <w:r w:rsidRPr="008E081B">
        <w:rPr>
          <w:b/>
          <w:lang w:val="es-ES_tradnl"/>
        </w:rPr>
        <w:t>La Comisión Consultiva espera que se reduzcan considerablemente los gastos de viajes oficiales en 2017, por cuanto casi todo el personal de la Oficina estará para entonces destacado en la región. La Comisión también destaca la necesidad de que la Oficina cumpla con la norma de la compra de billetes con 16 días de antelación en la mayor medida posible y de una mayor utilización de medios de comunicación alternativos. Por consiguiente, la Comisión recomienda una reducción general del 5% en los recursos propuestos para viajes oficiales</w:t>
      </w:r>
      <w:r w:rsidRPr="00AC3D06">
        <w:rPr>
          <w:lang w:val="es-ES_tradnl"/>
        </w:rPr>
        <w:t>.</w:t>
      </w:r>
    </w:p>
    <w:p w:rsidR="00835778" w:rsidRPr="008E081B" w:rsidRDefault="00835778" w:rsidP="00835778">
      <w:pPr>
        <w:pStyle w:val="SingleTxt"/>
        <w:numPr>
          <w:ilvl w:val="0"/>
          <w:numId w:val="24"/>
        </w:numPr>
        <w:ind w:left="1267"/>
        <w:rPr>
          <w:lang w:val="es-ES_tradnl"/>
        </w:rPr>
      </w:pPr>
      <w:r w:rsidRPr="008E081B">
        <w:rPr>
          <w:b/>
          <w:lang w:val="es-ES_tradnl"/>
        </w:rPr>
        <w:t>Con sujeción a las observaciones y recomendaciones que figuran en los párrafos anteriores, la Comisión Consultiva recomienda que se aprueben las propuestas del Secretario General para los gastos operacionales</w:t>
      </w:r>
      <w:r w:rsidRPr="008E081B">
        <w:rPr>
          <w:lang w:val="es-ES_tradnl"/>
        </w:rPr>
        <w:t>.</w:t>
      </w:r>
    </w:p>
    <w:p w:rsidR="00835778" w:rsidRPr="008E081B" w:rsidRDefault="00835778" w:rsidP="004D26EA">
      <w:pPr>
        <w:pStyle w:val="SingleTxt"/>
        <w:tabs>
          <w:tab w:val="right" w:pos="1022"/>
        </w:tabs>
        <w:spacing w:after="0" w:line="120" w:lineRule="exact"/>
        <w:ind w:right="1260"/>
        <w:rPr>
          <w:b/>
          <w:sz w:val="10"/>
          <w:lang w:val="es-ES_tradnl"/>
        </w:rPr>
      </w:pPr>
    </w:p>
    <w:p w:rsidR="00835778" w:rsidRPr="008E081B" w:rsidRDefault="00835778" w:rsidP="004D26EA">
      <w:pPr>
        <w:pStyle w:val="SingleTxt"/>
        <w:tabs>
          <w:tab w:val="right" w:pos="1022"/>
        </w:tabs>
        <w:spacing w:after="0" w:line="120" w:lineRule="exact"/>
        <w:ind w:right="1260"/>
        <w:rPr>
          <w:b/>
          <w:sz w:val="10"/>
          <w:lang w:val="es-ES_tradnl"/>
        </w:rPr>
      </w:pPr>
    </w:p>
    <w:p w:rsidR="00835778" w:rsidRPr="008E081B" w:rsidRDefault="00835778" w:rsidP="004D26E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atLeast"/>
        <w:ind w:left="1267" w:right="1650" w:hanging="1267"/>
        <w:rPr>
          <w:lang w:val="es-ES_tradnl"/>
        </w:rPr>
      </w:pPr>
      <w:r>
        <w:rPr>
          <w:lang w:val="es-ES_tradnl"/>
        </w:rPr>
        <w:tab/>
        <w:t>B.</w:t>
      </w:r>
      <w:r>
        <w:rPr>
          <w:lang w:val="es-ES_tradnl"/>
        </w:rPr>
        <w:tab/>
      </w:r>
      <w:r w:rsidRPr="008E081B">
        <w:rPr>
          <w:lang w:val="es-ES_tradnl"/>
        </w:rPr>
        <w:t>Oficina del Asesor Especial sobre la Prevención de Conflictos, en particular en Burundi</w:t>
      </w:r>
    </w:p>
    <w:p w:rsidR="00835778" w:rsidRPr="008E081B" w:rsidRDefault="00835778" w:rsidP="004D26EA">
      <w:pPr>
        <w:pStyle w:val="SingleTxt"/>
        <w:tabs>
          <w:tab w:val="right" w:pos="1022"/>
        </w:tabs>
        <w:spacing w:after="0" w:line="120" w:lineRule="exact"/>
        <w:ind w:right="1260"/>
        <w:rPr>
          <w:b/>
          <w:sz w:val="10"/>
          <w:lang w:val="es-ES_tradnl"/>
        </w:rPr>
      </w:pPr>
    </w:p>
    <w:p w:rsidR="00835778" w:rsidRPr="008E081B" w:rsidRDefault="00835778" w:rsidP="004D26EA">
      <w:pPr>
        <w:pStyle w:val="SingleTxt"/>
        <w:tabs>
          <w:tab w:val="right" w:pos="1022"/>
        </w:tabs>
        <w:spacing w:after="0" w:line="120" w:lineRule="exact"/>
        <w:ind w:right="1260"/>
        <w:rPr>
          <w:b/>
          <w:sz w:val="10"/>
          <w:lang w:val="es-ES_tradnl"/>
        </w:rPr>
      </w:pPr>
    </w:p>
    <w:p w:rsidR="00835778" w:rsidRPr="008E081B" w:rsidRDefault="00835778" w:rsidP="004D2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Pr>
          <w:lang w:val="es-ES_tradnl"/>
        </w:rPr>
        <w:tab/>
      </w:r>
      <w:r>
        <w:rPr>
          <w:lang w:val="es-ES_tradnl"/>
        </w:rPr>
        <w:tab/>
      </w:r>
      <w:r w:rsidRPr="008E081B">
        <w:rPr>
          <w:lang w:val="es-ES_tradnl"/>
        </w:rPr>
        <w:t>Antecedentes</w:t>
      </w:r>
    </w:p>
    <w:p w:rsidR="00835778" w:rsidRPr="008E081B" w:rsidRDefault="00835778" w:rsidP="004D26EA">
      <w:pPr>
        <w:pStyle w:val="SingleTxt"/>
        <w:tabs>
          <w:tab w:val="right" w:pos="1022"/>
        </w:tabs>
        <w:spacing w:after="0" w:line="120" w:lineRule="exact"/>
        <w:ind w:right="1260"/>
        <w:rPr>
          <w:b/>
          <w:sz w:val="10"/>
          <w:lang w:val="es-ES_tradnl"/>
        </w:rPr>
      </w:pPr>
    </w:p>
    <w:p w:rsidR="00835778" w:rsidRPr="008E081B" w:rsidRDefault="00835778" w:rsidP="00835778">
      <w:pPr>
        <w:pStyle w:val="SingleTxt"/>
        <w:numPr>
          <w:ilvl w:val="0"/>
          <w:numId w:val="24"/>
        </w:numPr>
        <w:ind w:left="1267"/>
        <w:rPr>
          <w:b/>
          <w:lang w:val="es-ES_tradnl"/>
        </w:rPr>
      </w:pPr>
      <w:r w:rsidRPr="008E081B">
        <w:rPr>
          <w:lang w:val="es-ES_tradnl"/>
        </w:rPr>
        <w:t xml:space="preserve">El Consejo de Seguridad, en su resolución </w:t>
      </w:r>
      <w:hyperlink r:id="rId37" w:history="1">
        <w:r w:rsidRPr="00793297">
          <w:rPr>
            <w:rStyle w:val="Hyperlink"/>
            <w:lang w:val="es-ES_tradnl"/>
          </w:rPr>
          <w:t>2248 (2015)</w:t>
        </w:r>
      </w:hyperlink>
      <w:r w:rsidRPr="008E081B">
        <w:rPr>
          <w:lang w:val="es-ES_tradnl"/>
        </w:rPr>
        <w:t xml:space="preserve">, acogió con beneplácito la decisión del Secretario General de nombrar a un Asesor Especial sobre la Prevención de Conflictos, en particular en Burundi, para que colaborara con el Gobierno de Burundi y otras partes interesadas a fin de apoyar un diálogo inclusivo entre los burundeses y la solución pacífica del conflicto y apoyar los esfuerzos nacionales para consolidar y mantener la paz. Posteriormente, en su resolución </w:t>
      </w:r>
      <w:hyperlink r:id="rId38" w:history="1">
        <w:r w:rsidRPr="00793297">
          <w:rPr>
            <w:rStyle w:val="Hyperlink"/>
            <w:lang w:val="es-ES_tradnl"/>
          </w:rPr>
          <w:t>2279 (2016)</w:t>
        </w:r>
      </w:hyperlink>
      <w:r w:rsidRPr="008E081B">
        <w:rPr>
          <w:lang w:val="es-ES_tradnl"/>
        </w:rPr>
        <w:t xml:space="preserve">, el Consejo de Seguridad solicitó al Secretario General que, por conducto de los buenos oficios de su Asesor Especial, prestara apoyo al diálogo entre las partes de Burundi y, a ese respecto, coordinara su labor y colaborara con el mediador dirigido por la Comunidad de África Oriental y con su facilitador, así como con la delegación de alto nivel de la Unión Africana, y proporcionara apoyo técnico y sustantivo a la mediación. Más tarde, el Consejo aprobó la resolución </w:t>
      </w:r>
      <w:hyperlink r:id="rId39" w:history="1">
        <w:r w:rsidRPr="00793297">
          <w:rPr>
            <w:rStyle w:val="Hyperlink"/>
            <w:lang w:val="es-ES_tradnl"/>
          </w:rPr>
          <w:t>2303 (2016)</w:t>
        </w:r>
      </w:hyperlink>
      <w:r w:rsidRPr="008E081B">
        <w:rPr>
          <w:lang w:val="es-ES_tradnl"/>
        </w:rPr>
        <w:t xml:space="preserve"> en la que autorizó el despliegue de un componente de policía de las Naciones Unidas bajo la autoridad del Asesor Especial con el mandato de vigilar la situación de seguridad y apoyar a la Oficina del Alto Comisionado de las Naciones Unidas para los Derechos Humanos AACNUDH) en la supervisión de las violaciones y abusos de los derechos humanos. En la misma resolución, el Consejo de Seguridad pidió al Secretario General que pusiera en práctica rápidamente el fortalecimiento de la Oficina del Asesor Especial, aumentando considerablemente el número de funcionarios políticos en Burundi con el fin de: a) colaborar con todas las partes interesadas en la crisis; b) prestar apoyo sustantivo al diálogo entre las partes de Burundi; y c) colaborar con todas las partes de Burundi con el objeto de elaborar medidas de fomento de la confianza para mejorar la situación de los derechos humanos y de seguridad (</w:t>
      </w:r>
      <w:hyperlink r:id="rId40" w:history="1">
        <w:r w:rsidRPr="00BC3D43">
          <w:rPr>
            <w:rStyle w:val="Hyperlink"/>
            <w:lang w:val="es-ES_tradnl"/>
          </w:rPr>
          <w:t>A/71/365/Add.6</w:t>
        </w:r>
      </w:hyperlink>
      <w:r w:rsidRPr="008E081B">
        <w:rPr>
          <w:lang w:val="es-ES_tradnl"/>
        </w:rPr>
        <w:t>, párrs. 46 a 58).</w:t>
      </w:r>
    </w:p>
    <w:p w:rsidR="00835778" w:rsidRPr="008E081B" w:rsidRDefault="00835778" w:rsidP="00835778">
      <w:pPr>
        <w:pStyle w:val="SingleTxt"/>
        <w:numPr>
          <w:ilvl w:val="0"/>
          <w:numId w:val="24"/>
        </w:numPr>
        <w:ind w:left="1267"/>
        <w:rPr>
          <w:b/>
          <w:lang w:val="es-ES_tradnl"/>
        </w:rPr>
      </w:pPr>
      <w:r w:rsidRPr="008E081B">
        <w:rPr>
          <w:lang w:val="es-ES_tradnl"/>
        </w:rPr>
        <w:t xml:space="preserve">La Comisión Consultiva recuerda que la Asamblea General, en su resolución </w:t>
      </w:r>
      <w:hyperlink r:id="rId41" w:history="1">
        <w:r w:rsidRPr="00793297">
          <w:rPr>
            <w:rStyle w:val="Hyperlink"/>
            <w:lang w:val="es-ES_tradnl"/>
          </w:rPr>
          <w:t>70/248</w:t>
        </w:r>
      </w:hyperlink>
      <w:r>
        <w:rPr>
          <w:rStyle w:val="Hyperlink"/>
          <w:lang w:val="es-ES_tradnl"/>
        </w:rPr>
        <w:t xml:space="preserve"> </w:t>
      </w:r>
      <w:r w:rsidRPr="008E081B">
        <w:rPr>
          <w:lang w:val="es-ES_tradnl"/>
        </w:rPr>
        <w:t>B, aprobó una consignación de 7.763.700 dólares para sufragar las necesidades de recursos de la Oficina en 2016, incluida la creación de 33 plazas. Se informó a la Comisión Consultiva de que los gastos de la Oficina con cargo a esa consignación se estimaban en 7.548.700 dólares para fines de 2016. En respuesta a sus preguntas, se proporcionó a la Comisión un organigrama en el que se indica que el Asesor Especial y su oficina inmediata se encuentran actualmente en Nueva York (5 plazas) mientras que todas las demás dependencias sustantivas (12 plazas), una Dependencia de Apoyo a la Misión (10 plazas) y una Dependencia de Seguridad del Personal (4 plazas) se encuentran en Burundi. Además, un Equipo de Apoyo a la Mediación (compuesto de 2 plazas) está actualmente radicado en Nairobi.</w:t>
      </w:r>
    </w:p>
    <w:p w:rsidR="00835778" w:rsidRPr="008E081B" w:rsidRDefault="00835778" w:rsidP="00835778">
      <w:pPr>
        <w:pStyle w:val="SingleTxt"/>
        <w:numPr>
          <w:ilvl w:val="0"/>
          <w:numId w:val="24"/>
        </w:numPr>
        <w:ind w:left="1267"/>
        <w:rPr>
          <w:b/>
          <w:lang w:val="es-ES_tradnl"/>
        </w:rPr>
      </w:pPr>
      <w:r w:rsidRPr="008E081B">
        <w:rPr>
          <w:lang w:val="es-ES_tradnl"/>
        </w:rPr>
        <w:t>En su informe, el Secretario General indica que el equipo del Asesor Especial se desplegó en Burundi en enero de 2016. En el informe se indica también que entre los principales inductores de costos que afectarían a la planificación figuran los arreglos logísticos, los viajes más frecuentes dentro de Burundi y a nivel regional e internacional, según proceda, así como otros gastos operacionales y de personal para atender a las necesidades del mandato a medida que avanza el diálogo político de Burundi. Los costos también guardan relación con los planes de mudar a un nuevo complejo la Oficina del Asesor Especial en Buyumbura (</w:t>
      </w:r>
      <w:hyperlink r:id="rId42" w:history="1">
        <w:r w:rsidRPr="00BC3D43">
          <w:rPr>
            <w:rStyle w:val="Hyperlink"/>
            <w:lang w:val="es-ES_tradnl"/>
          </w:rPr>
          <w:t>A/71/363/Add.6</w:t>
        </w:r>
      </w:hyperlink>
      <w:r w:rsidRPr="008E081B">
        <w:rPr>
          <w:lang w:val="es-ES_tradnl"/>
        </w:rPr>
        <w:t>, párr. 72). Se indica además que el apoyo administrativo al personal de la Oficina del Asesor Especial de las Naciones Unidas desplegado en Burundi es proporcionado por el Centro Regional de Apoyo en Entebbe (Uganda), que presta servicios de la cadena de suministro y servicios de caja, finanzas y adquisiciones, con un pequeño equipo de apoyo a la oficina desplegado en Buyumbura para apoyar las necesidades administrativas y logísticas diarias del equipo (</w:t>
      </w:r>
      <w:r w:rsidRPr="0017172E">
        <w:rPr>
          <w:i/>
          <w:lang w:val="es-ES_tradnl"/>
        </w:rPr>
        <w:t>ib</w:t>
      </w:r>
      <w:r>
        <w:rPr>
          <w:i/>
          <w:lang w:val="es-ES_tradnl"/>
        </w:rPr>
        <w:t>i</w:t>
      </w:r>
      <w:r w:rsidRPr="0017172E">
        <w:rPr>
          <w:i/>
          <w:lang w:val="es-ES_tradnl"/>
        </w:rPr>
        <w:t>d</w:t>
      </w:r>
      <w:r w:rsidRPr="008E081B">
        <w:rPr>
          <w:lang w:val="es-ES_tradnl"/>
        </w:rPr>
        <w:t>., párrs. 62 y 73).</w:t>
      </w:r>
    </w:p>
    <w:p w:rsidR="00835778" w:rsidRPr="00835778" w:rsidRDefault="00835778" w:rsidP="00835778">
      <w:pPr>
        <w:pStyle w:val="SingleTxt"/>
        <w:spacing w:after="0" w:line="120" w:lineRule="exact"/>
        <w:rPr>
          <w:sz w:val="10"/>
        </w:rPr>
      </w:pPr>
    </w:p>
    <w:p w:rsidR="004D26EA" w:rsidRPr="000919BC" w:rsidRDefault="004D26EA" w:rsidP="004D2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919BC">
        <w:tab/>
      </w:r>
      <w:r w:rsidRPr="000919BC">
        <w:tab/>
        <w:t>Necesidades de recursos para la Oficina del Asesor Especial para 2017</w:t>
      </w:r>
    </w:p>
    <w:p w:rsidR="004D26EA" w:rsidRPr="000919BC" w:rsidRDefault="004D26EA" w:rsidP="004D26EA">
      <w:pPr>
        <w:pStyle w:val="SingleTxt"/>
        <w:spacing w:after="0" w:line="120" w:lineRule="exact"/>
        <w:rPr>
          <w:sz w:val="10"/>
        </w:rPr>
      </w:pPr>
    </w:p>
    <w:p w:rsidR="004D26EA" w:rsidRPr="000919BC" w:rsidRDefault="004D26EA" w:rsidP="004D26EA">
      <w:pPr>
        <w:pStyle w:val="SingleTxt"/>
        <w:numPr>
          <w:ilvl w:val="0"/>
          <w:numId w:val="25"/>
        </w:numPr>
        <w:tabs>
          <w:tab w:val="clear" w:pos="475"/>
          <w:tab w:val="right" w:pos="1022"/>
        </w:tabs>
        <w:ind w:left="1267" w:right="1260"/>
      </w:pPr>
      <w:r w:rsidRPr="000919BC">
        <w:t>Los recursos propuestos para la Oficina del Asesor Especial para 2017 ascienden a 11.927.100 dólares, lo que supone un aumento de 4.163.400 dólares (el 53%) respecto de la consignación inicial para 2016 (véase el cuadro 4). Más de la mitad de este incremento obedece al aumento de los gastos estimados a raíz de los mayores niveles de dotación de personal (2.352.300 dólares); además, se registraron aumentos de menor cuantía en las partidas de viajes oficiales (384.900 dólares), instalaciones e infraestructura (366.500 dólares) y tecnología de la información (346.700 dólares) (véase el cuadro 5).</w:t>
      </w:r>
    </w:p>
    <w:p w:rsidR="004D26EA" w:rsidRPr="000919BC" w:rsidRDefault="004D26EA" w:rsidP="004D26EA">
      <w:pPr>
        <w:pStyle w:val="SingleTxt"/>
        <w:spacing w:after="0" w:line="120" w:lineRule="exact"/>
        <w:rPr>
          <w:sz w:val="10"/>
        </w:rPr>
      </w:pPr>
    </w:p>
    <w:p w:rsidR="004D26EA" w:rsidRDefault="004D26EA">
      <w:pPr>
        <w:suppressAutoHyphens w:val="0"/>
        <w:spacing w:after="200" w:line="276" w:lineRule="auto"/>
        <w:rPr>
          <w:spacing w:val="2"/>
          <w:kern w:val="14"/>
        </w:rPr>
      </w:pPr>
      <w:r>
        <w:rPr>
          <w:b/>
        </w:rPr>
        <w:br w:type="page"/>
      </w:r>
    </w:p>
    <w:p w:rsidR="004D26EA" w:rsidRPr="000919BC" w:rsidRDefault="004D26EA" w:rsidP="004D2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val="0"/>
        </w:rPr>
      </w:pPr>
      <w:r w:rsidRPr="000919BC">
        <w:rPr>
          <w:b w:val="0"/>
        </w:rPr>
        <w:t>Cuadro 4</w:t>
      </w:r>
    </w:p>
    <w:p w:rsidR="004D26EA" w:rsidRPr="000919BC" w:rsidRDefault="004D26EA" w:rsidP="004D2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919BC">
        <w:t>Recursos financieros</w:t>
      </w:r>
    </w:p>
    <w:p w:rsidR="004D26EA" w:rsidRPr="00AF6ACD" w:rsidRDefault="004D26EA" w:rsidP="004D26EA">
      <w:pPr>
        <w:pStyle w:val="SingleTxt"/>
        <w:ind w:hanging="1240"/>
        <w:rPr>
          <w:sz w:val="14"/>
          <w:szCs w:val="14"/>
          <w:lang w:val="es-ES_tradnl"/>
        </w:rPr>
      </w:pPr>
      <w:r w:rsidRPr="00AF6ACD">
        <w:rPr>
          <w:sz w:val="14"/>
          <w:szCs w:val="14"/>
        </w:rPr>
        <w:t>(En miles de dólares de los Estados Unidos)</w:t>
      </w:r>
    </w:p>
    <w:p w:rsidR="004D26EA" w:rsidRPr="000919BC" w:rsidRDefault="004D26EA" w:rsidP="004D26EA">
      <w:pPr>
        <w:pStyle w:val="SingleTxt"/>
        <w:spacing w:after="0" w:line="120" w:lineRule="exact"/>
        <w:rPr>
          <w:sz w:val="10"/>
          <w:lang w:val="es-ES_tradnl"/>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0"/>
        <w:gridCol w:w="1089"/>
        <w:gridCol w:w="792"/>
        <w:gridCol w:w="864"/>
        <w:gridCol w:w="945"/>
        <w:gridCol w:w="81"/>
        <w:gridCol w:w="990"/>
        <w:gridCol w:w="1071"/>
        <w:gridCol w:w="1053"/>
        <w:gridCol w:w="1062"/>
      </w:tblGrid>
      <w:tr w:rsidR="004D26EA" w:rsidRPr="000919BC" w:rsidTr="004D26EA">
        <w:tc>
          <w:tcPr>
            <w:tcW w:w="1890" w:type="dxa"/>
            <w:tcBorders>
              <w:left w:val="nil"/>
              <w:bottom w:val="nil"/>
              <w:right w:val="nil"/>
            </w:tcBorders>
            <w:shd w:val="clear" w:color="auto" w:fill="auto"/>
            <w:vAlign w:val="bottom"/>
          </w:tcPr>
          <w:p w:rsidR="004D26EA" w:rsidRPr="000919BC" w:rsidRDefault="004D26EA" w:rsidP="004D26EA">
            <w:pPr>
              <w:spacing w:before="81" w:after="81" w:line="160" w:lineRule="exact"/>
              <w:ind w:right="43"/>
              <w:rPr>
                <w:sz w:val="14"/>
                <w:szCs w:val="14"/>
                <w:lang w:val="es-ES_tradnl"/>
              </w:rPr>
            </w:pPr>
            <w:r w:rsidRPr="000919BC">
              <w:rPr>
                <w:sz w:val="14"/>
                <w:szCs w:val="14"/>
                <w:lang w:val="es-ES_tradnl"/>
              </w:rPr>
              <w:br w:type="page"/>
            </w:r>
          </w:p>
        </w:tc>
        <w:tc>
          <w:tcPr>
            <w:tcW w:w="3690" w:type="dxa"/>
            <w:gridSpan w:val="4"/>
            <w:tcBorders>
              <w:left w:val="nil"/>
              <w:bottom w:val="single" w:sz="4" w:space="0" w:color="auto"/>
              <w:right w:val="nil"/>
            </w:tcBorders>
            <w:shd w:val="clear" w:color="auto" w:fill="auto"/>
            <w:vAlign w:val="bottom"/>
          </w:tcPr>
          <w:p w:rsidR="004D26EA" w:rsidRPr="000919BC" w:rsidRDefault="004D26EA" w:rsidP="004D26EA">
            <w:pPr>
              <w:spacing w:before="81" w:after="81" w:line="160" w:lineRule="exact"/>
              <w:ind w:right="43"/>
              <w:jc w:val="center"/>
              <w:rPr>
                <w:i/>
                <w:sz w:val="14"/>
                <w:szCs w:val="14"/>
                <w:lang w:val="es-ES_tradnl"/>
              </w:rPr>
            </w:pPr>
            <w:r w:rsidRPr="000919BC">
              <w:rPr>
                <w:i/>
                <w:sz w:val="14"/>
                <w:szCs w:val="14"/>
                <w:lang w:val="es-ES_tradnl"/>
              </w:rPr>
              <w:t>1 de enero a 31 de diciembre de 2016</w:t>
            </w:r>
          </w:p>
        </w:tc>
        <w:tc>
          <w:tcPr>
            <w:tcW w:w="81" w:type="dxa"/>
            <w:tcBorders>
              <w:left w:val="nil"/>
              <w:bottom w:val="nil"/>
              <w:right w:val="nil"/>
            </w:tcBorders>
            <w:shd w:val="clear" w:color="auto" w:fill="auto"/>
            <w:vAlign w:val="bottom"/>
          </w:tcPr>
          <w:p w:rsidR="004D26EA" w:rsidRPr="000919BC" w:rsidRDefault="004D26EA" w:rsidP="004D26EA">
            <w:pPr>
              <w:spacing w:before="81" w:after="81" w:line="160" w:lineRule="exact"/>
              <w:ind w:right="43"/>
              <w:jc w:val="center"/>
              <w:rPr>
                <w:i/>
                <w:sz w:val="14"/>
                <w:szCs w:val="14"/>
                <w:lang w:val="es-ES_tradnl"/>
              </w:rPr>
            </w:pPr>
          </w:p>
        </w:tc>
        <w:tc>
          <w:tcPr>
            <w:tcW w:w="4176" w:type="dxa"/>
            <w:gridSpan w:val="4"/>
            <w:tcBorders>
              <w:left w:val="nil"/>
              <w:bottom w:val="single" w:sz="4" w:space="0" w:color="auto"/>
              <w:right w:val="nil"/>
            </w:tcBorders>
            <w:shd w:val="clear" w:color="auto" w:fill="auto"/>
            <w:vAlign w:val="bottom"/>
          </w:tcPr>
          <w:p w:rsidR="004D26EA" w:rsidRPr="000919BC" w:rsidRDefault="004D26EA" w:rsidP="00BD7A4C">
            <w:pPr>
              <w:spacing w:before="81" w:after="81" w:line="160" w:lineRule="exact"/>
              <w:ind w:right="43"/>
              <w:jc w:val="center"/>
              <w:rPr>
                <w:i/>
                <w:sz w:val="14"/>
                <w:szCs w:val="14"/>
                <w:lang w:val="es-ES_tradnl"/>
              </w:rPr>
            </w:pPr>
            <w:r w:rsidRPr="000919BC">
              <w:rPr>
                <w:i/>
                <w:sz w:val="14"/>
                <w:szCs w:val="14"/>
                <w:lang w:val="es-ES_tradnl"/>
              </w:rPr>
              <w:t xml:space="preserve">Necesidades para el período comprendido entre </w:t>
            </w:r>
            <w:r w:rsidR="00BD7A4C">
              <w:rPr>
                <w:i/>
                <w:sz w:val="14"/>
                <w:szCs w:val="14"/>
                <w:lang w:val="es-ES_tradnl"/>
              </w:rPr>
              <w:br/>
            </w:r>
            <w:r w:rsidRPr="000919BC">
              <w:rPr>
                <w:i/>
                <w:sz w:val="14"/>
                <w:szCs w:val="14"/>
                <w:lang w:val="es-ES_tradnl"/>
              </w:rPr>
              <w:t>el 1 de enero y el 31 de diciembre de 2017</w:t>
            </w:r>
          </w:p>
        </w:tc>
      </w:tr>
      <w:tr w:rsidR="004D26EA" w:rsidRPr="000919BC" w:rsidTr="004D26EA">
        <w:tc>
          <w:tcPr>
            <w:tcW w:w="1890" w:type="dxa"/>
            <w:tcBorders>
              <w:top w:val="nil"/>
              <w:left w:val="nil"/>
              <w:bottom w:val="nil"/>
              <w:right w:val="nil"/>
            </w:tcBorders>
            <w:shd w:val="clear" w:color="auto" w:fill="auto"/>
            <w:vAlign w:val="bottom"/>
          </w:tcPr>
          <w:p w:rsidR="004D26EA" w:rsidRPr="000919BC" w:rsidRDefault="004D26EA" w:rsidP="004D26EA">
            <w:pPr>
              <w:spacing w:before="81" w:after="81" w:line="160" w:lineRule="exact"/>
              <w:ind w:right="43"/>
              <w:jc w:val="center"/>
              <w:rPr>
                <w:i/>
                <w:sz w:val="14"/>
                <w:szCs w:val="14"/>
                <w:lang w:val="es-ES_tradnl"/>
              </w:rPr>
            </w:pPr>
          </w:p>
        </w:tc>
        <w:tc>
          <w:tcPr>
            <w:tcW w:w="1089"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Consignaciones</w:t>
            </w:r>
          </w:p>
        </w:tc>
        <w:tc>
          <w:tcPr>
            <w:tcW w:w="792"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Gastos estimados</w:t>
            </w:r>
          </w:p>
        </w:tc>
        <w:tc>
          <w:tcPr>
            <w:tcW w:w="864"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Diferencia</w:t>
            </w:r>
          </w:p>
        </w:tc>
        <w:tc>
          <w:tcPr>
            <w:tcW w:w="945" w:type="dxa"/>
            <w:tcBorders>
              <w:top w:val="single" w:sz="4" w:space="0" w:color="auto"/>
              <w:left w:val="nil"/>
              <w:bottom w:val="single" w:sz="4" w:space="0" w:color="auto"/>
              <w:right w:val="nil"/>
            </w:tcBorders>
            <w:shd w:val="clear" w:color="auto" w:fill="auto"/>
            <w:vAlign w:val="bottom"/>
          </w:tcPr>
          <w:p w:rsidR="004D26EA" w:rsidRPr="000919BC" w:rsidRDefault="004D26EA" w:rsidP="00681368">
            <w:pPr>
              <w:spacing w:before="81" w:after="81" w:line="160" w:lineRule="exact"/>
              <w:ind w:right="43"/>
              <w:jc w:val="right"/>
              <w:rPr>
                <w:i/>
                <w:sz w:val="14"/>
                <w:szCs w:val="14"/>
                <w:lang w:val="es-ES_tradnl"/>
              </w:rPr>
            </w:pPr>
            <w:r w:rsidRPr="000919BC">
              <w:rPr>
                <w:i/>
                <w:sz w:val="14"/>
                <w:szCs w:val="14"/>
                <w:lang w:val="es-ES_tradnl"/>
              </w:rPr>
              <w:t xml:space="preserve">Consignación </w:t>
            </w:r>
            <w:r w:rsidR="00681368">
              <w:rPr>
                <w:i/>
                <w:sz w:val="14"/>
                <w:szCs w:val="14"/>
                <w:lang w:val="es-ES_tradnl"/>
              </w:rPr>
              <w:br/>
            </w:r>
            <w:r w:rsidRPr="000919BC">
              <w:rPr>
                <w:i/>
                <w:sz w:val="14"/>
                <w:szCs w:val="14"/>
                <w:lang w:val="es-ES_tradnl"/>
              </w:rPr>
              <w:t>para 2016</w:t>
            </w:r>
          </w:p>
        </w:tc>
        <w:tc>
          <w:tcPr>
            <w:tcW w:w="1071" w:type="dxa"/>
            <w:gridSpan w:val="2"/>
            <w:tcBorders>
              <w:top w:val="nil"/>
              <w:left w:val="nil"/>
              <w:bottom w:val="single" w:sz="4"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Total de necesidades</w:t>
            </w:r>
          </w:p>
        </w:tc>
        <w:tc>
          <w:tcPr>
            <w:tcW w:w="1071" w:type="dxa"/>
            <w:tcBorders>
              <w:top w:val="nil"/>
              <w:left w:val="nil"/>
              <w:bottom w:val="single" w:sz="4"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 xml:space="preserve">Necesidades </w:t>
            </w:r>
            <w:r w:rsidRPr="000919BC">
              <w:rPr>
                <w:i/>
                <w:sz w:val="14"/>
                <w:szCs w:val="14"/>
                <w:lang w:val="es-ES_tradnl"/>
              </w:rPr>
              <w:br/>
              <w:t>no periódicas</w:t>
            </w:r>
          </w:p>
        </w:tc>
        <w:tc>
          <w:tcPr>
            <w:tcW w:w="1053" w:type="dxa"/>
            <w:tcBorders>
              <w:top w:val="nil"/>
              <w:left w:val="nil"/>
              <w:bottom w:val="single" w:sz="4"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Pr>
                <w:i/>
                <w:sz w:val="14"/>
                <w:szCs w:val="14"/>
                <w:lang w:val="es-ES_tradnl"/>
              </w:rPr>
              <w:t>Diferencia (2017-</w:t>
            </w:r>
            <w:r w:rsidRPr="000919BC">
              <w:rPr>
                <w:i/>
                <w:sz w:val="14"/>
                <w:szCs w:val="14"/>
                <w:lang w:val="es-ES_tradnl"/>
              </w:rPr>
              <w:t>2016)</w:t>
            </w:r>
          </w:p>
        </w:tc>
        <w:tc>
          <w:tcPr>
            <w:tcW w:w="1062" w:type="dxa"/>
            <w:tcBorders>
              <w:top w:val="nil"/>
              <w:left w:val="nil"/>
              <w:bottom w:val="single" w:sz="2" w:space="0" w:color="auto"/>
              <w:right w:val="nil"/>
            </w:tcBorders>
            <w:shd w:val="clear" w:color="auto" w:fill="auto"/>
            <w:vAlign w:val="bottom"/>
          </w:tcPr>
          <w:p w:rsidR="004D26EA" w:rsidRPr="000919BC" w:rsidRDefault="004D26EA" w:rsidP="00681368">
            <w:pPr>
              <w:spacing w:before="81" w:after="81" w:line="160" w:lineRule="exact"/>
              <w:ind w:right="43"/>
              <w:jc w:val="right"/>
              <w:rPr>
                <w:i/>
                <w:sz w:val="14"/>
                <w:szCs w:val="14"/>
                <w:lang w:val="es-ES_tradnl"/>
              </w:rPr>
            </w:pPr>
            <w:r w:rsidRPr="000919BC">
              <w:rPr>
                <w:i/>
                <w:sz w:val="14"/>
                <w:szCs w:val="14"/>
                <w:lang w:val="es-ES_tradnl"/>
              </w:rPr>
              <w:t xml:space="preserve">Necesidades </w:t>
            </w:r>
            <w:r w:rsidR="00681368">
              <w:rPr>
                <w:i/>
                <w:sz w:val="14"/>
                <w:szCs w:val="14"/>
                <w:lang w:val="es-ES_tradnl"/>
              </w:rPr>
              <w:t xml:space="preserve">en cifras </w:t>
            </w:r>
            <w:r w:rsidRPr="000919BC">
              <w:rPr>
                <w:i/>
                <w:sz w:val="14"/>
                <w:szCs w:val="14"/>
                <w:lang w:val="es-ES_tradnl"/>
              </w:rPr>
              <w:t>netas para</w:t>
            </w:r>
            <w:r w:rsidR="00681368">
              <w:rPr>
                <w:i/>
                <w:sz w:val="14"/>
                <w:szCs w:val="14"/>
                <w:lang w:val="es-ES_tradnl"/>
              </w:rPr>
              <w:t xml:space="preserve"> </w:t>
            </w:r>
            <w:r w:rsidRPr="000919BC">
              <w:rPr>
                <w:i/>
                <w:sz w:val="14"/>
                <w:szCs w:val="14"/>
                <w:lang w:val="es-ES_tradnl"/>
              </w:rPr>
              <w:t>2017</w:t>
            </w:r>
            <w:r w:rsidRPr="000919BC">
              <w:rPr>
                <w:i/>
                <w:sz w:val="14"/>
                <w:szCs w:val="14"/>
                <w:vertAlign w:val="superscript"/>
                <w:lang w:val="es-ES_tradnl"/>
              </w:rPr>
              <w:t>a</w:t>
            </w:r>
          </w:p>
        </w:tc>
      </w:tr>
      <w:tr w:rsidR="004D26EA" w:rsidRPr="000919BC" w:rsidTr="004D26EA">
        <w:tc>
          <w:tcPr>
            <w:tcW w:w="1890" w:type="dxa"/>
            <w:tcBorders>
              <w:top w:val="nil"/>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rPr>
                <w:i/>
                <w:sz w:val="14"/>
                <w:szCs w:val="14"/>
                <w:lang w:val="es-ES_tradnl"/>
              </w:rPr>
            </w:pPr>
            <w:r w:rsidRPr="000919BC">
              <w:rPr>
                <w:i/>
                <w:sz w:val="14"/>
                <w:szCs w:val="14"/>
                <w:lang w:val="es-ES_tradnl"/>
              </w:rPr>
              <w:t>Categoría</w:t>
            </w:r>
          </w:p>
        </w:tc>
        <w:tc>
          <w:tcPr>
            <w:tcW w:w="1089" w:type="dxa"/>
            <w:tcBorders>
              <w:top w:val="nil"/>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(1)</w:t>
            </w:r>
          </w:p>
        </w:tc>
        <w:tc>
          <w:tcPr>
            <w:tcW w:w="792" w:type="dxa"/>
            <w:tcBorders>
              <w:top w:val="nil"/>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(2)</w:t>
            </w:r>
          </w:p>
        </w:tc>
        <w:tc>
          <w:tcPr>
            <w:tcW w:w="864" w:type="dxa"/>
            <w:tcBorders>
              <w:top w:val="nil"/>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(3)=(1)</w:t>
            </w:r>
            <w:r>
              <w:rPr>
                <w:i/>
                <w:sz w:val="14"/>
                <w:szCs w:val="14"/>
                <w:lang w:val="es-ES_tradnl"/>
              </w:rPr>
              <w:t>–</w:t>
            </w:r>
            <w:r w:rsidRPr="000919BC">
              <w:rPr>
                <w:i/>
                <w:sz w:val="14"/>
                <w:szCs w:val="14"/>
                <w:lang w:val="es-ES_tradnl"/>
              </w:rPr>
              <w:t>(2)</w:t>
            </w:r>
          </w:p>
        </w:tc>
        <w:tc>
          <w:tcPr>
            <w:tcW w:w="945" w:type="dxa"/>
            <w:tcBorders>
              <w:top w:val="nil"/>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(4) = (1)</w:t>
            </w:r>
          </w:p>
        </w:tc>
        <w:tc>
          <w:tcPr>
            <w:tcW w:w="1071" w:type="dxa"/>
            <w:gridSpan w:val="2"/>
            <w:tcBorders>
              <w:top w:val="nil"/>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(5)</w:t>
            </w:r>
          </w:p>
        </w:tc>
        <w:tc>
          <w:tcPr>
            <w:tcW w:w="1071" w:type="dxa"/>
            <w:tcBorders>
              <w:top w:val="nil"/>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(6)</w:t>
            </w:r>
          </w:p>
        </w:tc>
        <w:tc>
          <w:tcPr>
            <w:tcW w:w="1053" w:type="dxa"/>
            <w:tcBorders>
              <w:top w:val="nil"/>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Pr>
                <w:i/>
                <w:sz w:val="14"/>
                <w:szCs w:val="14"/>
                <w:lang w:val="es-ES_tradnl"/>
              </w:rPr>
              <w:t>(7) = (5)</w:t>
            </w:r>
            <w:r w:rsidRPr="000919BC">
              <w:rPr>
                <w:i/>
                <w:sz w:val="14"/>
                <w:szCs w:val="14"/>
                <w:lang w:val="es-ES_tradnl"/>
              </w:rPr>
              <w:t>–(4)</w:t>
            </w:r>
          </w:p>
        </w:tc>
        <w:tc>
          <w:tcPr>
            <w:tcW w:w="1062" w:type="dxa"/>
            <w:tcBorders>
              <w:top w:val="single" w:sz="2" w:space="0" w:color="auto"/>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Pr>
                <w:i/>
                <w:sz w:val="14"/>
                <w:szCs w:val="14"/>
                <w:lang w:val="es-ES_tradnl"/>
              </w:rPr>
              <w:t>(8) = (5)</w:t>
            </w:r>
            <w:r w:rsidRPr="000919BC">
              <w:rPr>
                <w:i/>
                <w:sz w:val="14"/>
                <w:szCs w:val="14"/>
                <w:lang w:val="es-ES_tradnl"/>
              </w:rPr>
              <w:t>–(3)</w:t>
            </w:r>
          </w:p>
        </w:tc>
      </w:tr>
      <w:tr w:rsidR="004D26EA" w:rsidRPr="000919BC" w:rsidTr="004D26EA">
        <w:tc>
          <w:tcPr>
            <w:tcW w:w="1890" w:type="dxa"/>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rPr>
                <w:sz w:val="17"/>
              </w:rPr>
            </w:pPr>
            <w:r w:rsidRPr="000919BC">
              <w:rPr>
                <w:sz w:val="17"/>
              </w:rPr>
              <w:t>Gastos de personal civil</w:t>
            </w:r>
          </w:p>
        </w:tc>
        <w:tc>
          <w:tcPr>
            <w:tcW w:w="1089" w:type="dxa"/>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jc w:val="right"/>
              <w:rPr>
                <w:sz w:val="17"/>
              </w:rPr>
            </w:pPr>
            <w:r w:rsidRPr="000919BC">
              <w:rPr>
                <w:sz w:val="17"/>
              </w:rPr>
              <w:t>3 202,8</w:t>
            </w:r>
          </w:p>
        </w:tc>
        <w:tc>
          <w:tcPr>
            <w:tcW w:w="792" w:type="dxa"/>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jc w:val="right"/>
              <w:rPr>
                <w:sz w:val="17"/>
              </w:rPr>
            </w:pPr>
            <w:r w:rsidRPr="000919BC">
              <w:rPr>
                <w:sz w:val="17"/>
              </w:rPr>
              <w:t>3 289,8</w:t>
            </w:r>
          </w:p>
        </w:tc>
        <w:tc>
          <w:tcPr>
            <w:tcW w:w="864" w:type="dxa"/>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jc w:val="right"/>
              <w:rPr>
                <w:sz w:val="17"/>
              </w:rPr>
            </w:pPr>
            <w:r w:rsidRPr="000919BC">
              <w:rPr>
                <w:sz w:val="17"/>
              </w:rPr>
              <w:t>(87,0)</w:t>
            </w:r>
          </w:p>
        </w:tc>
        <w:tc>
          <w:tcPr>
            <w:tcW w:w="945" w:type="dxa"/>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jc w:val="right"/>
              <w:rPr>
                <w:sz w:val="17"/>
              </w:rPr>
            </w:pPr>
            <w:r w:rsidRPr="000919BC">
              <w:rPr>
                <w:sz w:val="17"/>
              </w:rPr>
              <w:t>3 202,8</w:t>
            </w:r>
          </w:p>
        </w:tc>
        <w:tc>
          <w:tcPr>
            <w:tcW w:w="1071" w:type="dxa"/>
            <w:gridSpan w:val="2"/>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jc w:val="right"/>
              <w:rPr>
                <w:sz w:val="17"/>
              </w:rPr>
            </w:pPr>
            <w:r w:rsidRPr="000919BC">
              <w:rPr>
                <w:sz w:val="17"/>
              </w:rPr>
              <w:t>5 555,1</w:t>
            </w:r>
          </w:p>
        </w:tc>
        <w:tc>
          <w:tcPr>
            <w:tcW w:w="1071" w:type="dxa"/>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jc w:val="right"/>
              <w:rPr>
                <w:sz w:val="17"/>
              </w:rPr>
            </w:pPr>
            <w:r w:rsidRPr="000919BC">
              <w:rPr>
                <w:sz w:val="17"/>
              </w:rPr>
              <w:t>–</w:t>
            </w:r>
          </w:p>
        </w:tc>
        <w:tc>
          <w:tcPr>
            <w:tcW w:w="1053" w:type="dxa"/>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jc w:val="right"/>
              <w:rPr>
                <w:sz w:val="17"/>
              </w:rPr>
            </w:pPr>
            <w:r w:rsidRPr="000919BC">
              <w:rPr>
                <w:sz w:val="17"/>
              </w:rPr>
              <w:t>2 352,3</w:t>
            </w:r>
          </w:p>
        </w:tc>
        <w:tc>
          <w:tcPr>
            <w:tcW w:w="1062" w:type="dxa"/>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jc w:val="right"/>
              <w:rPr>
                <w:sz w:val="17"/>
              </w:rPr>
            </w:pPr>
            <w:r w:rsidRPr="000919BC">
              <w:rPr>
                <w:sz w:val="17"/>
              </w:rPr>
              <w:t>5 642,1</w:t>
            </w:r>
          </w:p>
        </w:tc>
      </w:tr>
      <w:tr w:rsidR="004D26EA" w:rsidRPr="000919BC" w:rsidTr="004D26EA">
        <w:tc>
          <w:tcPr>
            <w:tcW w:w="1890" w:type="dxa"/>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rPr>
                <w:sz w:val="17"/>
              </w:rPr>
            </w:pPr>
            <w:r w:rsidRPr="000919BC">
              <w:rPr>
                <w:sz w:val="17"/>
              </w:rPr>
              <w:t>Gastos operacionales</w:t>
            </w:r>
          </w:p>
        </w:tc>
        <w:tc>
          <w:tcPr>
            <w:tcW w:w="1089" w:type="dxa"/>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jc w:val="right"/>
              <w:rPr>
                <w:sz w:val="17"/>
              </w:rPr>
            </w:pPr>
            <w:r w:rsidRPr="000919BC">
              <w:rPr>
                <w:sz w:val="17"/>
              </w:rPr>
              <w:t>4 560,9</w:t>
            </w:r>
          </w:p>
        </w:tc>
        <w:tc>
          <w:tcPr>
            <w:tcW w:w="792" w:type="dxa"/>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jc w:val="right"/>
              <w:rPr>
                <w:sz w:val="17"/>
              </w:rPr>
            </w:pPr>
            <w:r w:rsidRPr="000919BC">
              <w:rPr>
                <w:sz w:val="17"/>
              </w:rPr>
              <w:t>4 258,9</w:t>
            </w:r>
          </w:p>
        </w:tc>
        <w:tc>
          <w:tcPr>
            <w:tcW w:w="864" w:type="dxa"/>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jc w:val="right"/>
              <w:rPr>
                <w:sz w:val="17"/>
              </w:rPr>
            </w:pPr>
            <w:r w:rsidRPr="000919BC">
              <w:rPr>
                <w:sz w:val="17"/>
              </w:rPr>
              <w:t>302,0</w:t>
            </w:r>
          </w:p>
        </w:tc>
        <w:tc>
          <w:tcPr>
            <w:tcW w:w="945" w:type="dxa"/>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jc w:val="right"/>
              <w:rPr>
                <w:sz w:val="17"/>
              </w:rPr>
            </w:pPr>
            <w:r w:rsidRPr="000919BC">
              <w:rPr>
                <w:sz w:val="17"/>
              </w:rPr>
              <w:t>4 560,9</w:t>
            </w:r>
          </w:p>
        </w:tc>
        <w:tc>
          <w:tcPr>
            <w:tcW w:w="1071" w:type="dxa"/>
            <w:gridSpan w:val="2"/>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jc w:val="right"/>
              <w:rPr>
                <w:sz w:val="17"/>
              </w:rPr>
            </w:pPr>
            <w:r w:rsidRPr="000919BC">
              <w:rPr>
                <w:sz w:val="17"/>
              </w:rPr>
              <w:t>6 372,0</w:t>
            </w:r>
          </w:p>
        </w:tc>
        <w:tc>
          <w:tcPr>
            <w:tcW w:w="1071" w:type="dxa"/>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jc w:val="right"/>
              <w:rPr>
                <w:sz w:val="17"/>
              </w:rPr>
            </w:pPr>
            <w:r w:rsidRPr="000919BC">
              <w:rPr>
                <w:sz w:val="17"/>
              </w:rPr>
              <w:t>426,8</w:t>
            </w:r>
          </w:p>
        </w:tc>
        <w:tc>
          <w:tcPr>
            <w:tcW w:w="1053" w:type="dxa"/>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jc w:val="right"/>
              <w:rPr>
                <w:sz w:val="17"/>
              </w:rPr>
            </w:pPr>
            <w:r w:rsidRPr="000919BC">
              <w:rPr>
                <w:sz w:val="17"/>
              </w:rPr>
              <w:t>1 811,1</w:t>
            </w:r>
          </w:p>
        </w:tc>
        <w:tc>
          <w:tcPr>
            <w:tcW w:w="1062" w:type="dxa"/>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jc w:val="right"/>
              <w:rPr>
                <w:sz w:val="17"/>
              </w:rPr>
            </w:pPr>
            <w:r w:rsidRPr="000919BC">
              <w:rPr>
                <w:sz w:val="17"/>
              </w:rPr>
              <w:t>6 070,0</w:t>
            </w:r>
          </w:p>
        </w:tc>
      </w:tr>
      <w:tr w:rsidR="004D26EA" w:rsidRPr="000919BC" w:rsidTr="004D26EA">
        <w:tc>
          <w:tcPr>
            <w:tcW w:w="1890" w:type="dxa"/>
            <w:tcBorders>
              <w:left w:val="nil"/>
              <w:bottom w:val="single" w:sz="12"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rPr>
                <w:b/>
                <w:sz w:val="17"/>
              </w:rPr>
            </w:pPr>
            <w:r w:rsidRPr="000919BC">
              <w:rPr>
                <w:b/>
                <w:sz w:val="17"/>
              </w:rPr>
              <w:tab/>
              <w:t xml:space="preserve">Total </w:t>
            </w:r>
          </w:p>
        </w:tc>
        <w:tc>
          <w:tcPr>
            <w:tcW w:w="1089" w:type="dxa"/>
            <w:tcBorders>
              <w:left w:val="nil"/>
              <w:bottom w:val="single" w:sz="12"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jc w:val="right"/>
              <w:rPr>
                <w:b/>
                <w:sz w:val="17"/>
              </w:rPr>
            </w:pPr>
            <w:r w:rsidRPr="000919BC">
              <w:rPr>
                <w:b/>
                <w:sz w:val="17"/>
              </w:rPr>
              <w:t>7 763,7</w:t>
            </w:r>
          </w:p>
        </w:tc>
        <w:tc>
          <w:tcPr>
            <w:tcW w:w="792" w:type="dxa"/>
            <w:tcBorders>
              <w:left w:val="nil"/>
              <w:bottom w:val="single" w:sz="12"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jc w:val="right"/>
              <w:rPr>
                <w:b/>
                <w:sz w:val="17"/>
              </w:rPr>
            </w:pPr>
            <w:r w:rsidRPr="000919BC">
              <w:rPr>
                <w:b/>
                <w:sz w:val="17"/>
              </w:rPr>
              <w:t>7 548,7</w:t>
            </w:r>
          </w:p>
        </w:tc>
        <w:tc>
          <w:tcPr>
            <w:tcW w:w="864" w:type="dxa"/>
            <w:tcBorders>
              <w:left w:val="nil"/>
              <w:bottom w:val="single" w:sz="12"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jc w:val="right"/>
              <w:rPr>
                <w:b/>
                <w:sz w:val="17"/>
              </w:rPr>
            </w:pPr>
            <w:r w:rsidRPr="000919BC">
              <w:rPr>
                <w:b/>
                <w:sz w:val="17"/>
              </w:rPr>
              <w:t>215,0</w:t>
            </w:r>
          </w:p>
        </w:tc>
        <w:tc>
          <w:tcPr>
            <w:tcW w:w="945" w:type="dxa"/>
            <w:tcBorders>
              <w:left w:val="nil"/>
              <w:bottom w:val="single" w:sz="12"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jc w:val="right"/>
              <w:rPr>
                <w:b/>
                <w:sz w:val="17"/>
              </w:rPr>
            </w:pPr>
            <w:r w:rsidRPr="000919BC">
              <w:rPr>
                <w:b/>
                <w:sz w:val="17"/>
              </w:rPr>
              <w:t>7 763,7</w:t>
            </w:r>
          </w:p>
        </w:tc>
        <w:tc>
          <w:tcPr>
            <w:tcW w:w="1071" w:type="dxa"/>
            <w:gridSpan w:val="2"/>
            <w:tcBorders>
              <w:left w:val="nil"/>
              <w:bottom w:val="single" w:sz="12"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jc w:val="right"/>
              <w:rPr>
                <w:b/>
                <w:sz w:val="17"/>
              </w:rPr>
            </w:pPr>
            <w:r w:rsidRPr="000919BC">
              <w:rPr>
                <w:b/>
                <w:sz w:val="17"/>
              </w:rPr>
              <w:t>11 927,1</w:t>
            </w:r>
          </w:p>
        </w:tc>
        <w:tc>
          <w:tcPr>
            <w:tcW w:w="1071" w:type="dxa"/>
            <w:tcBorders>
              <w:left w:val="nil"/>
              <w:bottom w:val="single" w:sz="12"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jc w:val="right"/>
              <w:rPr>
                <w:b/>
                <w:sz w:val="17"/>
              </w:rPr>
            </w:pPr>
            <w:r w:rsidRPr="000919BC">
              <w:rPr>
                <w:b/>
                <w:sz w:val="17"/>
              </w:rPr>
              <w:t>426,8</w:t>
            </w:r>
          </w:p>
        </w:tc>
        <w:tc>
          <w:tcPr>
            <w:tcW w:w="1053" w:type="dxa"/>
            <w:tcBorders>
              <w:left w:val="nil"/>
              <w:bottom w:val="single" w:sz="12"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jc w:val="right"/>
              <w:rPr>
                <w:b/>
                <w:sz w:val="17"/>
              </w:rPr>
            </w:pPr>
            <w:r w:rsidRPr="000919BC">
              <w:rPr>
                <w:b/>
                <w:sz w:val="17"/>
              </w:rPr>
              <w:t>4 163,4</w:t>
            </w:r>
          </w:p>
        </w:tc>
        <w:tc>
          <w:tcPr>
            <w:tcW w:w="1062" w:type="dxa"/>
            <w:tcBorders>
              <w:left w:val="nil"/>
              <w:bottom w:val="single" w:sz="12"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jc w:val="right"/>
              <w:rPr>
                <w:b/>
                <w:sz w:val="17"/>
              </w:rPr>
            </w:pPr>
            <w:r w:rsidRPr="000919BC">
              <w:rPr>
                <w:b/>
                <w:sz w:val="17"/>
              </w:rPr>
              <w:t>11 712,1</w:t>
            </w:r>
          </w:p>
        </w:tc>
      </w:tr>
    </w:tbl>
    <w:p w:rsidR="004D26EA" w:rsidRPr="000919BC" w:rsidRDefault="004D26EA" w:rsidP="004D26EA">
      <w:pPr>
        <w:pStyle w:val="SingleTxt"/>
        <w:spacing w:after="0" w:line="120" w:lineRule="exact"/>
        <w:rPr>
          <w:sz w:val="10"/>
          <w:lang w:val="es-ES_tradnl"/>
        </w:rPr>
      </w:pPr>
    </w:p>
    <w:p w:rsidR="004D26EA" w:rsidRPr="000919BC" w:rsidRDefault="004D26EA" w:rsidP="004D26EA">
      <w:pPr>
        <w:pStyle w:val="FootnoteText"/>
        <w:tabs>
          <w:tab w:val="clear" w:pos="418"/>
          <w:tab w:val="right" w:pos="216"/>
          <w:tab w:val="left" w:pos="288"/>
          <w:tab w:val="right" w:pos="576"/>
          <w:tab w:val="left" w:pos="648"/>
        </w:tabs>
        <w:ind w:left="288" w:hanging="288"/>
      </w:pPr>
      <w:r w:rsidRPr="000919BC">
        <w:rPr>
          <w:vertAlign w:val="superscript"/>
        </w:rPr>
        <w:tab/>
      </w:r>
      <w:r w:rsidRPr="000919BC">
        <w:rPr>
          <w:i/>
          <w:vertAlign w:val="superscript"/>
        </w:rPr>
        <w:t>a</w:t>
      </w:r>
      <w:r w:rsidRPr="000919BC">
        <w:rPr>
          <w:vertAlign w:val="superscript"/>
        </w:rPr>
        <w:tab/>
      </w:r>
      <w:r w:rsidRPr="000919BC">
        <w:t xml:space="preserve">Necesidades en cifras netas después de tener en cuenta la estimación de gastos inferiores o superiores a los previstos para 2016. </w:t>
      </w:r>
    </w:p>
    <w:p w:rsidR="004D26EA" w:rsidRPr="000919BC" w:rsidRDefault="004D26EA" w:rsidP="004D26EA">
      <w:pPr>
        <w:pStyle w:val="SingleTxt"/>
        <w:spacing w:after="0" w:line="120" w:lineRule="exact"/>
        <w:rPr>
          <w:b/>
          <w:sz w:val="10"/>
        </w:rPr>
      </w:pPr>
    </w:p>
    <w:p w:rsidR="004D26EA" w:rsidRPr="00AF6ACD" w:rsidRDefault="004D26EA" w:rsidP="004D26EA">
      <w:pPr>
        <w:pStyle w:val="SingleTxt"/>
        <w:spacing w:after="0" w:line="120" w:lineRule="exact"/>
        <w:rPr>
          <w:b/>
          <w:sz w:val="10"/>
        </w:rPr>
      </w:pPr>
    </w:p>
    <w:p w:rsidR="004D26EA" w:rsidRPr="000919BC" w:rsidRDefault="004D26EA" w:rsidP="004D26EA">
      <w:pPr>
        <w:pStyle w:val="SingleTxt"/>
        <w:spacing w:after="0" w:line="120" w:lineRule="exact"/>
        <w:rPr>
          <w:b/>
          <w:sz w:val="10"/>
        </w:rPr>
      </w:pPr>
    </w:p>
    <w:p w:rsidR="004D26EA" w:rsidRPr="000919BC" w:rsidRDefault="004D26EA" w:rsidP="004D2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b w:val="0"/>
        </w:rPr>
      </w:pPr>
      <w:r w:rsidRPr="000919BC">
        <w:rPr>
          <w:b w:val="0"/>
        </w:rPr>
        <w:t>Cuadro 5</w:t>
      </w:r>
    </w:p>
    <w:p w:rsidR="004D26EA" w:rsidRPr="000919BC" w:rsidRDefault="004D26EA" w:rsidP="004D2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919BC">
        <w:t>Resumen de recursos financieros por categoría principal de gastos</w:t>
      </w:r>
    </w:p>
    <w:p w:rsidR="004D26EA" w:rsidRPr="000919BC" w:rsidRDefault="004D26EA" w:rsidP="004D26EA">
      <w:pPr>
        <w:pStyle w:val="SingleTxt"/>
        <w:ind w:hanging="1249"/>
        <w:rPr>
          <w:sz w:val="14"/>
          <w:szCs w:val="14"/>
        </w:rPr>
      </w:pPr>
      <w:r w:rsidRPr="000919BC">
        <w:rPr>
          <w:sz w:val="14"/>
          <w:szCs w:val="14"/>
        </w:rPr>
        <w:t>(En miles de dólares de los Estados Unidos)</w:t>
      </w:r>
    </w:p>
    <w:p w:rsidR="004D26EA" w:rsidRPr="000919BC" w:rsidRDefault="004D26EA" w:rsidP="004D26EA">
      <w:pPr>
        <w:pStyle w:val="SingleTxt"/>
        <w:spacing w:after="0" w:line="120" w:lineRule="exact"/>
        <w:ind w:hanging="1249"/>
        <w:rPr>
          <w:sz w:val="10"/>
          <w:szCs w:val="14"/>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7"/>
        <w:gridCol w:w="1053"/>
        <w:gridCol w:w="837"/>
        <w:gridCol w:w="873"/>
        <w:gridCol w:w="927"/>
        <w:gridCol w:w="63"/>
        <w:gridCol w:w="819"/>
        <w:gridCol w:w="999"/>
        <w:gridCol w:w="954"/>
        <w:gridCol w:w="1035"/>
      </w:tblGrid>
      <w:tr w:rsidR="004D26EA" w:rsidRPr="000919BC" w:rsidTr="00681368">
        <w:trPr>
          <w:tblHeader/>
        </w:trPr>
        <w:tc>
          <w:tcPr>
            <w:tcW w:w="2277" w:type="dxa"/>
            <w:tcBorders>
              <w:left w:val="nil"/>
              <w:bottom w:val="nil"/>
              <w:right w:val="nil"/>
            </w:tcBorders>
            <w:shd w:val="clear" w:color="auto" w:fill="auto"/>
            <w:vAlign w:val="bottom"/>
          </w:tcPr>
          <w:p w:rsidR="004D26EA" w:rsidRPr="000919BC" w:rsidRDefault="004D26EA" w:rsidP="004D26EA">
            <w:pPr>
              <w:spacing w:before="81" w:after="81" w:line="160" w:lineRule="exact"/>
              <w:ind w:right="43"/>
              <w:rPr>
                <w:sz w:val="14"/>
                <w:szCs w:val="14"/>
                <w:lang w:val="es-ES_tradnl"/>
              </w:rPr>
            </w:pPr>
            <w:r w:rsidRPr="000919BC">
              <w:rPr>
                <w:sz w:val="14"/>
                <w:szCs w:val="14"/>
                <w:lang w:val="es-ES_tradnl"/>
              </w:rPr>
              <w:br w:type="page"/>
            </w:r>
          </w:p>
        </w:tc>
        <w:tc>
          <w:tcPr>
            <w:tcW w:w="3690" w:type="dxa"/>
            <w:gridSpan w:val="4"/>
            <w:tcBorders>
              <w:left w:val="nil"/>
              <w:bottom w:val="single" w:sz="4" w:space="0" w:color="auto"/>
              <w:right w:val="nil"/>
            </w:tcBorders>
            <w:shd w:val="clear" w:color="auto" w:fill="auto"/>
            <w:vAlign w:val="bottom"/>
          </w:tcPr>
          <w:p w:rsidR="004D26EA" w:rsidRPr="000919BC" w:rsidRDefault="004D26EA" w:rsidP="004D26EA">
            <w:pPr>
              <w:spacing w:before="81" w:after="81" w:line="160" w:lineRule="exact"/>
              <w:ind w:right="43"/>
              <w:jc w:val="center"/>
              <w:rPr>
                <w:i/>
                <w:sz w:val="14"/>
                <w:szCs w:val="14"/>
                <w:lang w:val="es-ES_tradnl"/>
              </w:rPr>
            </w:pPr>
            <w:r w:rsidRPr="000919BC">
              <w:rPr>
                <w:i/>
                <w:sz w:val="14"/>
                <w:szCs w:val="14"/>
                <w:lang w:val="es-ES_tradnl"/>
              </w:rPr>
              <w:t>1 de enero a 31 de diciembre de 2016</w:t>
            </w:r>
          </w:p>
        </w:tc>
        <w:tc>
          <w:tcPr>
            <w:tcW w:w="63" w:type="dxa"/>
            <w:tcBorders>
              <w:left w:val="nil"/>
              <w:bottom w:val="nil"/>
              <w:right w:val="nil"/>
            </w:tcBorders>
            <w:shd w:val="clear" w:color="auto" w:fill="auto"/>
            <w:vAlign w:val="bottom"/>
          </w:tcPr>
          <w:p w:rsidR="004D26EA" w:rsidRPr="000919BC" w:rsidRDefault="004D26EA" w:rsidP="004D26EA">
            <w:pPr>
              <w:spacing w:before="81" w:after="81" w:line="160" w:lineRule="exact"/>
              <w:ind w:right="43"/>
              <w:jc w:val="center"/>
              <w:rPr>
                <w:i/>
                <w:sz w:val="14"/>
                <w:szCs w:val="14"/>
                <w:lang w:val="es-ES_tradnl"/>
              </w:rPr>
            </w:pPr>
          </w:p>
        </w:tc>
        <w:tc>
          <w:tcPr>
            <w:tcW w:w="3807" w:type="dxa"/>
            <w:gridSpan w:val="4"/>
            <w:tcBorders>
              <w:left w:val="nil"/>
              <w:bottom w:val="single" w:sz="4" w:space="0" w:color="auto"/>
              <w:right w:val="nil"/>
            </w:tcBorders>
            <w:shd w:val="clear" w:color="auto" w:fill="auto"/>
            <w:vAlign w:val="bottom"/>
          </w:tcPr>
          <w:p w:rsidR="004D26EA" w:rsidRPr="000919BC" w:rsidRDefault="004D26EA" w:rsidP="00BD7A4C">
            <w:pPr>
              <w:spacing w:before="81" w:after="81" w:line="160" w:lineRule="exact"/>
              <w:ind w:right="43"/>
              <w:jc w:val="center"/>
              <w:rPr>
                <w:i/>
                <w:sz w:val="14"/>
                <w:szCs w:val="14"/>
                <w:lang w:val="es-ES_tradnl"/>
              </w:rPr>
            </w:pPr>
            <w:r w:rsidRPr="000919BC">
              <w:rPr>
                <w:i/>
                <w:sz w:val="14"/>
                <w:szCs w:val="14"/>
                <w:lang w:val="es-ES_tradnl"/>
              </w:rPr>
              <w:t xml:space="preserve">Necesidades para el período comprendido entre </w:t>
            </w:r>
            <w:r w:rsidR="00BD7A4C">
              <w:rPr>
                <w:i/>
                <w:sz w:val="14"/>
                <w:szCs w:val="14"/>
                <w:lang w:val="es-ES_tradnl"/>
              </w:rPr>
              <w:br/>
            </w:r>
            <w:r w:rsidRPr="000919BC">
              <w:rPr>
                <w:i/>
                <w:sz w:val="14"/>
                <w:szCs w:val="14"/>
                <w:lang w:val="es-ES_tradnl"/>
              </w:rPr>
              <w:t>el 1 de enero y el 31 de diciembre de 2017</w:t>
            </w:r>
          </w:p>
        </w:tc>
      </w:tr>
      <w:tr w:rsidR="004D26EA" w:rsidRPr="000919BC" w:rsidTr="00681368">
        <w:trPr>
          <w:tblHeader/>
        </w:trPr>
        <w:tc>
          <w:tcPr>
            <w:tcW w:w="2277" w:type="dxa"/>
            <w:tcBorders>
              <w:top w:val="nil"/>
              <w:left w:val="nil"/>
              <w:bottom w:val="nil"/>
              <w:right w:val="nil"/>
            </w:tcBorders>
            <w:shd w:val="clear" w:color="auto" w:fill="auto"/>
            <w:vAlign w:val="bottom"/>
          </w:tcPr>
          <w:p w:rsidR="004D26EA" w:rsidRPr="000919BC" w:rsidRDefault="004D26EA" w:rsidP="004D26EA">
            <w:pPr>
              <w:spacing w:before="81" w:after="81" w:line="160" w:lineRule="exact"/>
              <w:ind w:right="43"/>
              <w:rPr>
                <w:i/>
                <w:sz w:val="14"/>
                <w:szCs w:val="14"/>
                <w:lang w:val="es-ES_tradnl"/>
              </w:rPr>
            </w:pPr>
          </w:p>
        </w:tc>
        <w:tc>
          <w:tcPr>
            <w:tcW w:w="1053"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Consignaciones</w:t>
            </w:r>
          </w:p>
        </w:tc>
        <w:tc>
          <w:tcPr>
            <w:tcW w:w="837"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Gastos estimados</w:t>
            </w:r>
          </w:p>
        </w:tc>
        <w:tc>
          <w:tcPr>
            <w:tcW w:w="873"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Diferencia</w:t>
            </w:r>
          </w:p>
        </w:tc>
        <w:tc>
          <w:tcPr>
            <w:tcW w:w="990" w:type="dxa"/>
            <w:gridSpan w:val="2"/>
            <w:tcBorders>
              <w:top w:val="nil"/>
              <w:left w:val="nil"/>
              <w:bottom w:val="single" w:sz="4" w:space="0" w:color="auto"/>
              <w:right w:val="nil"/>
            </w:tcBorders>
            <w:shd w:val="clear" w:color="auto" w:fill="auto"/>
            <w:vAlign w:val="bottom"/>
          </w:tcPr>
          <w:p w:rsidR="004D26EA" w:rsidRPr="000919BC" w:rsidRDefault="004D26EA" w:rsidP="00681368">
            <w:pPr>
              <w:spacing w:before="81" w:after="81" w:line="160" w:lineRule="exact"/>
              <w:ind w:right="43"/>
              <w:jc w:val="right"/>
              <w:rPr>
                <w:i/>
                <w:sz w:val="14"/>
                <w:szCs w:val="14"/>
                <w:lang w:val="es-ES_tradnl"/>
              </w:rPr>
            </w:pPr>
            <w:r w:rsidRPr="000919BC">
              <w:rPr>
                <w:i/>
                <w:sz w:val="14"/>
                <w:szCs w:val="14"/>
                <w:lang w:val="es-ES_tradnl"/>
              </w:rPr>
              <w:t>Consignación para 2016</w:t>
            </w:r>
          </w:p>
        </w:tc>
        <w:tc>
          <w:tcPr>
            <w:tcW w:w="819" w:type="dxa"/>
            <w:tcBorders>
              <w:top w:val="nil"/>
              <w:left w:val="nil"/>
              <w:bottom w:val="single" w:sz="4"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Total de necesidades</w:t>
            </w:r>
          </w:p>
        </w:tc>
        <w:tc>
          <w:tcPr>
            <w:tcW w:w="999" w:type="dxa"/>
            <w:tcBorders>
              <w:top w:val="nil"/>
              <w:left w:val="nil"/>
              <w:bottom w:val="single" w:sz="4"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 xml:space="preserve">Necesidades </w:t>
            </w:r>
            <w:r w:rsidRPr="000919BC">
              <w:rPr>
                <w:i/>
                <w:sz w:val="14"/>
                <w:szCs w:val="14"/>
                <w:lang w:val="es-ES_tradnl"/>
              </w:rPr>
              <w:br/>
              <w:t>no periódicas</w:t>
            </w:r>
          </w:p>
        </w:tc>
        <w:tc>
          <w:tcPr>
            <w:tcW w:w="954" w:type="dxa"/>
            <w:tcBorders>
              <w:top w:val="single" w:sz="2" w:space="0" w:color="auto"/>
              <w:left w:val="nil"/>
              <w:bottom w:val="single" w:sz="4"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Diferencia (2017–2016)</w:t>
            </w:r>
          </w:p>
        </w:tc>
        <w:tc>
          <w:tcPr>
            <w:tcW w:w="1035" w:type="dxa"/>
            <w:tcBorders>
              <w:top w:val="nil"/>
              <w:left w:val="nil"/>
              <w:bottom w:val="single" w:sz="2" w:space="0" w:color="auto"/>
              <w:right w:val="nil"/>
            </w:tcBorders>
            <w:shd w:val="clear" w:color="auto" w:fill="auto"/>
            <w:vAlign w:val="bottom"/>
          </w:tcPr>
          <w:p w:rsidR="004D26EA" w:rsidRPr="000919BC" w:rsidRDefault="004D26EA" w:rsidP="00681368">
            <w:pPr>
              <w:spacing w:before="81" w:after="81" w:line="160" w:lineRule="exact"/>
              <w:ind w:right="43"/>
              <w:jc w:val="right"/>
              <w:rPr>
                <w:i/>
                <w:sz w:val="14"/>
                <w:szCs w:val="14"/>
                <w:lang w:val="es-ES_tradnl"/>
              </w:rPr>
            </w:pPr>
            <w:r w:rsidRPr="000919BC">
              <w:rPr>
                <w:i/>
                <w:sz w:val="14"/>
                <w:szCs w:val="14"/>
                <w:lang w:val="es-ES_tradnl"/>
              </w:rPr>
              <w:t>Necesidades</w:t>
            </w:r>
            <w:r w:rsidR="00681368">
              <w:rPr>
                <w:i/>
                <w:sz w:val="14"/>
                <w:szCs w:val="14"/>
                <w:lang w:val="es-ES_tradnl"/>
              </w:rPr>
              <w:t xml:space="preserve"> en</w:t>
            </w:r>
            <w:r w:rsidR="00681368">
              <w:rPr>
                <w:i/>
                <w:sz w:val="14"/>
                <w:szCs w:val="14"/>
                <w:lang w:val="es-ES_tradnl"/>
              </w:rPr>
              <w:br/>
              <w:t>cifras</w:t>
            </w:r>
            <w:r w:rsidRPr="000919BC">
              <w:rPr>
                <w:i/>
                <w:sz w:val="14"/>
                <w:szCs w:val="14"/>
                <w:lang w:val="es-ES_tradnl"/>
              </w:rPr>
              <w:t xml:space="preserve"> netas para</w:t>
            </w:r>
            <w:r w:rsidR="00681368">
              <w:rPr>
                <w:i/>
                <w:sz w:val="14"/>
                <w:szCs w:val="14"/>
                <w:lang w:val="es-ES_tradnl"/>
              </w:rPr>
              <w:t xml:space="preserve"> </w:t>
            </w:r>
            <w:r w:rsidRPr="000919BC">
              <w:rPr>
                <w:i/>
                <w:sz w:val="14"/>
                <w:szCs w:val="14"/>
                <w:lang w:val="es-ES_tradnl"/>
              </w:rPr>
              <w:t>2017</w:t>
            </w:r>
            <w:r w:rsidRPr="000919BC">
              <w:rPr>
                <w:i/>
                <w:sz w:val="14"/>
                <w:szCs w:val="14"/>
                <w:vertAlign w:val="superscript"/>
                <w:lang w:val="es-ES_tradnl"/>
              </w:rPr>
              <w:t>a</w:t>
            </w:r>
          </w:p>
        </w:tc>
      </w:tr>
      <w:tr w:rsidR="004D26EA" w:rsidRPr="000919BC" w:rsidTr="00681368">
        <w:trPr>
          <w:tblHeader/>
        </w:trPr>
        <w:tc>
          <w:tcPr>
            <w:tcW w:w="2277" w:type="dxa"/>
            <w:tcBorders>
              <w:top w:val="nil"/>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rPr>
                <w:i/>
                <w:sz w:val="14"/>
                <w:szCs w:val="14"/>
                <w:lang w:val="es-ES_tradnl"/>
              </w:rPr>
            </w:pPr>
            <w:r w:rsidRPr="000919BC">
              <w:rPr>
                <w:i/>
                <w:sz w:val="14"/>
                <w:szCs w:val="14"/>
                <w:lang w:val="es-ES_tradnl"/>
              </w:rPr>
              <w:t>Categoría</w:t>
            </w:r>
          </w:p>
        </w:tc>
        <w:tc>
          <w:tcPr>
            <w:tcW w:w="1053" w:type="dxa"/>
            <w:tcBorders>
              <w:top w:val="nil"/>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(1)</w:t>
            </w:r>
          </w:p>
        </w:tc>
        <w:tc>
          <w:tcPr>
            <w:tcW w:w="837" w:type="dxa"/>
            <w:tcBorders>
              <w:top w:val="nil"/>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(2)</w:t>
            </w:r>
          </w:p>
        </w:tc>
        <w:tc>
          <w:tcPr>
            <w:tcW w:w="873" w:type="dxa"/>
            <w:tcBorders>
              <w:top w:val="nil"/>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(3)=(1)</w:t>
            </w:r>
            <w:r>
              <w:rPr>
                <w:i/>
                <w:sz w:val="14"/>
                <w:szCs w:val="14"/>
                <w:lang w:val="es-ES_tradnl"/>
              </w:rPr>
              <w:t>–</w:t>
            </w:r>
            <w:r w:rsidRPr="000919BC">
              <w:rPr>
                <w:i/>
                <w:sz w:val="14"/>
                <w:szCs w:val="14"/>
                <w:lang w:val="es-ES_tradnl"/>
              </w:rPr>
              <w:t>(2)</w:t>
            </w:r>
          </w:p>
        </w:tc>
        <w:tc>
          <w:tcPr>
            <w:tcW w:w="990" w:type="dxa"/>
            <w:gridSpan w:val="2"/>
            <w:tcBorders>
              <w:top w:val="nil"/>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(4) = (1)</w:t>
            </w:r>
          </w:p>
        </w:tc>
        <w:tc>
          <w:tcPr>
            <w:tcW w:w="819" w:type="dxa"/>
            <w:tcBorders>
              <w:top w:val="nil"/>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(5)</w:t>
            </w:r>
          </w:p>
        </w:tc>
        <w:tc>
          <w:tcPr>
            <w:tcW w:w="999" w:type="dxa"/>
            <w:tcBorders>
              <w:top w:val="nil"/>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(6)</w:t>
            </w:r>
          </w:p>
        </w:tc>
        <w:tc>
          <w:tcPr>
            <w:tcW w:w="954" w:type="dxa"/>
            <w:tcBorders>
              <w:top w:val="nil"/>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sidRPr="000919BC">
              <w:rPr>
                <w:i/>
                <w:sz w:val="14"/>
                <w:szCs w:val="14"/>
                <w:lang w:val="es-ES_tradnl"/>
              </w:rPr>
              <w:t>(7) = (5)–(4)</w:t>
            </w:r>
          </w:p>
        </w:tc>
        <w:tc>
          <w:tcPr>
            <w:tcW w:w="1035" w:type="dxa"/>
            <w:tcBorders>
              <w:top w:val="single" w:sz="2" w:space="0" w:color="auto"/>
              <w:left w:val="nil"/>
              <w:bottom w:val="single" w:sz="12" w:space="0" w:color="auto"/>
              <w:right w:val="nil"/>
            </w:tcBorders>
            <w:shd w:val="clear" w:color="auto" w:fill="auto"/>
            <w:vAlign w:val="bottom"/>
          </w:tcPr>
          <w:p w:rsidR="004D26EA" w:rsidRPr="000919BC" w:rsidRDefault="004D26EA" w:rsidP="004D26EA">
            <w:pPr>
              <w:spacing w:before="81" w:after="81" w:line="160" w:lineRule="exact"/>
              <w:ind w:right="43"/>
              <w:jc w:val="right"/>
              <w:rPr>
                <w:i/>
                <w:sz w:val="14"/>
                <w:szCs w:val="14"/>
                <w:lang w:val="es-ES_tradnl"/>
              </w:rPr>
            </w:pPr>
            <w:r>
              <w:rPr>
                <w:i/>
                <w:sz w:val="14"/>
                <w:szCs w:val="14"/>
                <w:lang w:val="es-ES_tradnl"/>
              </w:rPr>
              <w:t>(8) = (5)</w:t>
            </w:r>
            <w:r w:rsidRPr="000919BC">
              <w:rPr>
                <w:i/>
                <w:sz w:val="14"/>
                <w:szCs w:val="14"/>
                <w:lang w:val="es-ES_tradnl"/>
              </w:rPr>
              <w:t>–(3)</w:t>
            </w:r>
          </w:p>
        </w:tc>
      </w:tr>
      <w:tr w:rsidR="004D26EA" w:rsidRPr="000919BC" w:rsidTr="00681368">
        <w:tc>
          <w:tcPr>
            <w:tcW w:w="2277" w:type="dxa"/>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120" w:after="40" w:line="210" w:lineRule="exact"/>
              <w:ind w:right="40"/>
              <w:rPr>
                <w:b/>
                <w:bCs/>
                <w:sz w:val="17"/>
                <w:szCs w:val="16"/>
              </w:rPr>
            </w:pPr>
            <w:r w:rsidRPr="000919BC">
              <w:rPr>
                <w:b/>
                <w:sz w:val="17"/>
              </w:rPr>
              <w:t>I.</w:t>
            </w:r>
            <w:r w:rsidRPr="000919BC">
              <w:rPr>
                <w:b/>
                <w:sz w:val="17"/>
              </w:rPr>
              <w:tab/>
              <w:t>Personal civil</w:t>
            </w:r>
          </w:p>
        </w:tc>
        <w:tc>
          <w:tcPr>
            <w:tcW w:w="1053" w:type="dxa"/>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jc w:val="right"/>
              <w:rPr>
                <w:sz w:val="17"/>
                <w:szCs w:val="16"/>
              </w:rPr>
            </w:pPr>
          </w:p>
        </w:tc>
        <w:tc>
          <w:tcPr>
            <w:tcW w:w="837" w:type="dxa"/>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jc w:val="right"/>
              <w:rPr>
                <w:sz w:val="17"/>
                <w:szCs w:val="16"/>
              </w:rPr>
            </w:pPr>
          </w:p>
        </w:tc>
        <w:tc>
          <w:tcPr>
            <w:tcW w:w="873" w:type="dxa"/>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jc w:val="right"/>
              <w:rPr>
                <w:sz w:val="17"/>
                <w:szCs w:val="16"/>
              </w:rPr>
            </w:pPr>
          </w:p>
        </w:tc>
        <w:tc>
          <w:tcPr>
            <w:tcW w:w="990" w:type="dxa"/>
            <w:gridSpan w:val="2"/>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jc w:val="right"/>
              <w:rPr>
                <w:sz w:val="17"/>
                <w:szCs w:val="16"/>
              </w:rPr>
            </w:pPr>
          </w:p>
        </w:tc>
        <w:tc>
          <w:tcPr>
            <w:tcW w:w="819" w:type="dxa"/>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jc w:val="right"/>
              <w:rPr>
                <w:sz w:val="17"/>
                <w:szCs w:val="16"/>
              </w:rPr>
            </w:pPr>
          </w:p>
        </w:tc>
        <w:tc>
          <w:tcPr>
            <w:tcW w:w="999" w:type="dxa"/>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jc w:val="right"/>
              <w:rPr>
                <w:sz w:val="17"/>
                <w:szCs w:val="16"/>
              </w:rPr>
            </w:pPr>
          </w:p>
        </w:tc>
        <w:tc>
          <w:tcPr>
            <w:tcW w:w="954" w:type="dxa"/>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jc w:val="right"/>
              <w:rPr>
                <w:sz w:val="17"/>
                <w:szCs w:val="16"/>
              </w:rPr>
            </w:pPr>
          </w:p>
        </w:tc>
        <w:tc>
          <w:tcPr>
            <w:tcW w:w="1035" w:type="dxa"/>
            <w:tcBorders>
              <w:top w:val="single" w:sz="12"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0" w:after="40" w:line="210" w:lineRule="exact"/>
              <w:ind w:right="40"/>
              <w:jc w:val="right"/>
              <w:rPr>
                <w:sz w:val="17"/>
                <w:szCs w:val="16"/>
              </w:rPr>
            </w:pPr>
          </w:p>
        </w:tc>
      </w:tr>
      <w:tr w:rsidR="004D26EA" w:rsidRPr="000919BC" w:rsidTr="00681368">
        <w:tc>
          <w:tcPr>
            <w:tcW w:w="2277"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left="576" w:right="40" w:hanging="576"/>
              <w:rPr>
                <w:sz w:val="17"/>
                <w:szCs w:val="16"/>
              </w:rPr>
            </w:pPr>
            <w:r w:rsidRPr="000919BC">
              <w:rPr>
                <w:sz w:val="17"/>
              </w:rPr>
              <w:tab/>
              <w:t>1.</w:t>
            </w:r>
            <w:r w:rsidRPr="000919BC">
              <w:rPr>
                <w:sz w:val="17"/>
              </w:rPr>
              <w:tab/>
              <w:t>Personal internacional</w:t>
            </w:r>
          </w:p>
        </w:tc>
        <w:tc>
          <w:tcPr>
            <w:tcW w:w="1053"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3 089,4</w:t>
            </w:r>
          </w:p>
        </w:tc>
        <w:tc>
          <w:tcPr>
            <w:tcW w:w="837"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3,126,3</w:t>
            </w:r>
          </w:p>
        </w:tc>
        <w:tc>
          <w:tcPr>
            <w:tcW w:w="873"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(36,9)</w:t>
            </w:r>
          </w:p>
        </w:tc>
        <w:tc>
          <w:tcPr>
            <w:tcW w:w="990" w:type="dxa"/>
            <w:gridSpan w:val="2"/>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3 089,4</w:t>
            </w:r>
          </w:p>
        </w:tc>
        <w:tc>
          <w:tcPr>
            <w:tcW w:w="819"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5 274,8</w:t>
            </w:r>
          </w:p>
        </w:tc>
        <w:tc>
          <w:tcPr>
            <w:tcW w:w="999"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Pr>
                <w:sz w:val="17"/>
                <w:szCs w:val="16"/>
              </w:rPr>
              <w:t>–</w:t>
            </w:r>
          </w:p>
        </w:tc>
        <w:tc>
          <w:tcPr>
            <w:tcW w:w="954"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2 185,4</w:t>
            </w:r>
          </w:p>
        </w:tc>
        <w:tc>
          <w:tcPr>
            <w:tcW w:w="1035"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5 311,7</w:t>
            </w:r>
          </w:p>
        </w:tc>
      </w:tr>
      <w:tr w:rsidR="004D26EA" w:rsidRPr="000919BC" w:rsidTr="00681368">
        <w:tc>
          <w:tcPr>
            <w:tcW w:w="2277" w:type="dxa"/>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left="576" w:right="40" w:hanging="576"/>
              <w:rPr>
                <w:sz w:val="17"/>
                <w:szCs w:val="16"/>
              </w:rPr>
            </w:pPr>
            <w:r w:rsidRPr="000919BC">
              <w:rPr>
                <w:sz w:val="17"/>
              </w:rPr>
              <w:tab/>
              <w:t>2.</w:t>
            </w:r>
            <w:r w:rsidRPr="000919BC">
              <w:rPr>
                <w:sz w:val="17"/>
              </w:rPr>
              <w:tab/>
              <w:t>Personal nacional</w:t>
            </w:r>
          </w:p>
        </w:tc>
        <w:tc>
          <w:tcPr>
            <w:tcW w:w="1053" w:type="dxa"/>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jc w:val="right"/>
              <w:rPr>
                <w:sz w:val="17"/>
                <w:szCs w:val="16"/>
              </w:rPr>
            </w:pPr>
            <w:r w:rsidRPr="000919BC">
              <w:rPr>
                <w:sz w:val="17"/>
              </w:rPr>
              <w:t>113,4</w:t>
            </w:r>
          </w:p>
        </w:tc>
        <w:tc>
          <w:tcPr>
            <w:tcW w:w="837" w:type="dxa"/>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jc w:val="right"/>
              <w:rPr>
                <w:sz w:val="17"/>
                <w:szCs w:val="16"/>
              </w:rPr>
            </w:pPr>
            <w:r w:rsidRPr="000919BC">
              <w:rPr>
                <w:sz w:val="17"/>
              </w:rPr>
              <w:t>163,5</w:t>
            </w:r>
          </w:p>
        </w:tc>
        <w:tc>
          <w:tcPr>
            <w:tcW w:w="873" w:type="dxa"/>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jc w:val="right"/>
              <w:rPr>
                <w:color w:val="000000"/>
                <w:spacing w:val="0"/>
                <w:w w:val="100"/>
                <w:sz w:val="17"/>
                <w:szCs w:val="16"/>
              </w:rPr>
            </w:pPr>
            <w:r w:rsidRPr="000919BC">
              <w:rPr>
                <w:sz w:val="17"/>
              </w:rPr>
              <w:t>(50,1)</w:t>
            </w:r>
          </w:p>
        </w:tc>
        <w:tc>
          <w:tcPr>
            <w:tcW w:w="990" w:type="dxa"/>
            <w:gridSpan w:val="2"/>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jc w:val="right"/>
              <w:rPr>
                <w:sz w:val="17"/>
                <w:szCs w:val="16"/>
              </w:rPr>
            </w:pPr>
            <w:r w:rsidRPr="000919BC">
              <w:rPr>
                <w:sz w:val="17"/>
              </w:rPr>
              <w:t>113,4</w:t>
            </w:r>
          </w:p>
        </w:tc>
        <w:tc>
          <w:tcPr>
            <w:tcW w:w="819" w:type="dxa"/>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jc w:val="right"/>
              <w:rPr>
                <w:sz w:val="17"/>
                <w:szCs w:val="16"/>
              </w:rPr>
            </w:pPr>
            <w:r w:rsidRPr="000919BC">
              <w:rPr>
                <w:sz w:val="17"/>
              </w:rPr>
              <w:t>280,3</w:t>
            </w:r>
          </w:p>
        </w:tc>
        <w:tc>
          <w:tcPr>
            <w:tcW w:w="999" w:type="dxa"/>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jc w:val="right"/>
              <w:rPr>
                <w:sz w:val="17"/>
                <w:szCs w:val="16"/>
              </w:rPr>
            </w:pPr>
            <w:r>
              <w:rPr>
                <w:sz w:val="17"/>
                <w:szCs w:val="16"/>
              </w:rPr>
              <w:t>–</w:t>
            </w:r>
          </w:p>
        </w:tc>
        <w:tc>
          <w:tcPr>
            <w:tcW w:w="954" w:type="dxa"/>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jc w:val="right"/>
              <w:rPr>
                <w:sz w:val="17"/>
                <w:szCs w:val="16"/>
              </w:rPr>
            </w:pPr>
            <w:r w:rsidRPr="000919BC">
              <w:rPr>
                <w:sz w:val="17"/>
              </w:rPr>
              <w:t>166,9</w:t>
            </w:r>
          </w:p>
        </w:tc>
        <w:tc>
          <w:tcPr>
            <w:tcW w:w="1035" w:type="dxa"/>
            <w:tcBorders>
              <w:top w:val="nil"/>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81" w:line="210" w:lineRule="exact"/>
              <w:ind w:right="40"/>
              <w:jc w:val="right"/>
              <w:rPr>
                <w:sz w:val="17"/>
                <w:szCs w:val="16"/>
              </w:rPr>
            </w:pPr>
            <w:r w:rsidRPr="000919BC">
              <w:rPr>
                <w:sz w:val="17"/>
              </w:rPr>
              <w:t>330,4</w:t>
            </w:r>
          </w:p>
        </w:tc>
      </w:tr>
      <w:tr w:rsidR="004D26EA" w:rsidRPr="000919BC" w:rsidTr="00681368">
        <w:tc>
          <w:tcPr>
            <w:tcW w:w="2277"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rPr>
                <w:b/>
                <w:bCs/>
                <w:sz w:val="17"/>
                <w:szCs w:val="16"/>
              </w:rPr>
            </w:pPr>
            <w:r w:rsidRPr="000919BC">
              <w:rPr>
                <w:b/>
                <w:sz w:val="17"/>
              </w:rPr>
              <w:tab/>
              <w:t>Total de la categoría I</w:t>
            </w:r>
          </w:p>
        </w:tc>
        <w:tc>
          <w:tcPr>
            <w:tcW w:w="1053"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jc w:val="right"/>
              <w:rPr>
                <w:b/>
                <w:sz w:val="17"/>
                <w:szCs w:val="16"/>
              </w:rPr>
            </w:pPr>
            <w:r w:rsidRPr="000919BC">
              <w:rPr>
                <w:b/>
                <w:sz w:val="17"/>
              </w:rPr>
              <w:t>3 202,8</w:t>
            </w:r>
          </w:p>
        </w:tc>
        <w:tc>
          <w:tcPr>
            <w:tcW w:w="837"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jc w:val="right"/>
              <w:rPr>
                <w:b/>
                <w:sz w:val="17"/>
                <w:szCs w:val="16"/>
              </w:rPr>
            </w:pPr>
            <w:r w:rsidRPr="000919BC">
              <w:rPr>
                <w:b/>
                <w:sz w:val="17"/>
              </w:rPr>
              <w:t>3 289,8</w:t>
            </w:r>
          </w:p>
        </w:tc>
        <w:tc>
          <w:tcPr>
            <w:tcW w:w="873"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jc w:val="right"/>
              <w:rPr>
                <w:b/>
                <w:sz w:val="17"/>
                <w:szCs w:val="16"/>
              </w:rPr>
            </w:pPr>
            <w:r w:rsidRPr="000919BC">
              <w:rPr>
                <w:b/>
                <w:sz w:val="17"/>
              </w:rPr>
              <w:t>(87,0)</w:t>
            </w:r>
          </w:p>
        </w:tc>
        <w:tc>
          <w:tcPr>
            <w:tcW w:w="990" w:type="dxa"/>
            <w:gridSpan w:val="2"/>
            <w:tcBorders>
              <w:top w:val="single" w:sz="4" w:space="0" w:color="auto"/>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jc w:val="right"/>
              <w:rPr>
                <w:b/>
                <w:sz w:val="17"/>
                <w:szCs w:val="16"/>
              </w:rPr>
            </w:pPr>
            <w:r w:rsidRPr="000919BC">
              <w:rPr>
                <w:b/>
                <w:sz w:val="17"/>
              </w:rPr>
              <w:t>3 202,8</w:t>
            </w:r>
          </w:p>
        </w:tc>
        <w:tc>
          <w:tcPr>
            <w:tcW w:w="819"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jc w:val="right"/>
              <w:rPr>
                <w:b/>
                <w:sz w:val="17"/>
                <w:szCs w:val="16"/>
              </w:rPr>
            </w:pPr>
            <w:r w:rsidRPr="000919BC">
              <w:rPr>
                <w:b/>
                <w:sz w:val="17"/>
              </w:rPr>
              <w:t>5 555,1</w:t>
            </w:r>
          </w:p>
        </w:tc>
        <w:tc>
          <w:tcPr>
            <w:tcW w:w="999"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jc w:val="right"/>
              <w:rPr>
                <w:b/>
                <w:sz w:val="17"/>
                <w:szCs w:val="16"/>
              </w:rPr>
            </w:pPr>
            <w:r>
              <w:rPr>
                <w:b/>
                <w:sz w:val="17"/>
                <w:szCs w:val="16"/>
              </w:rPr>
              <w:t>–</w:t>
            </w:r>
          </w:p>
        </w:tc>
        <w:tc>
          <w:tcPr>
            <w:tcW w:w="954"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jc w:val="right"/>
              <w:rPr>
                <w:b/>
                <w:sz w:val="17"/>
                <w:szCs w:val="16"/>
              </w:rPr>
            </w:pPr>
            <w:r w:rsidRPr="000919BC">
              <w:rPr>
                <w:b/>
                <w:sz w:val="17"/>
              </w:rPr>
              <w:t>2 352,3</w:t>
            </w:r>
          </w:p>
        </w:tc>
        <w:tc>
          <w:tcPr>
            <w:tcW w:w="1035"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81" w:line="210" w:lineRule="exact"/>
              <w:ind w:right="40"/>
              <w:jc w:val="right"/>
              <w:rPr>
                <w:b/>
                <w:sz w:val="17"/>
                <w:szCs w:val="16"/>
              </w:rPr>
            </w:pPr>
            <w:r w:rsidRPr="000919BC">
              <w:rPr>
                <w:b/>
                <w:sz w:val="17"/>
              </w:rPr>
              <w:t>5 642,1</w:t>
            </w:r>
          </w:p>
        </w:tc>
      </w:tr>
      <w:tr w:rsidR="004D26EA" w:rsidRPr="000919BC" w:rsidTr="00681368">
        <w:tc>
          <w:tcPr>
            <w:tcW w:w="2277" w:type="dxa"/>
            <w:tcBorders>
              <w:top w:val="single" w:sz="4"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40" w:line="210" w:lineRule="exact"/>
              <w:ind w:right="40"/>
              <w:rPr>
                <w:b/>
                <w:bCs/>
                <w:sz w:val="17"/>
                <w:szCs w:val="16"/>
              </w:rPr>
            </w:pPr>
            <w:r w:rsidRPr="000919BC">
              <w:rPr>
                <w:b/>
                <w:sz w:val="17"/>
              </w:rPr>
              <w:t>II.</w:t>
            </w:r>
            <w:r w:rsidRPr="000919BC">
              <w:rPr>
                <w:b/>
                <w:sz w:val="17"/>
              </w:rPr>
              <w:tab/>
              <w:t>Gastos operacionales</w:t>
            </w:r>
          </w:p>
        </w:tc>
        <w:tc>
          <w:tcPr>
            <w:tcW w:w="1053" w:type="dxa"/>
            <w:tcBorders>
              <w:top w:val="single" w:sz="4"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40" w:line="210" w:lineRule="exact"/>
              <w:ind w:right="40"/>
              <w:jc w:val="right"/>
              <w:rPr>
                <w:sz w:val="17"/>
                <w:szCs w:val="16"/>
              </w:rPr>
            </w:pPr>
          </w:p>
        </w:tc>
        <w:tc>
          <w:tcPr>
            <w:tcW w:w="837" w:type="dxa"/>
            <w:tcBorders>
              <w:top w:val="single" w:sz="4"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40" w:line="210" w:lineRule="exact"/>
              <w:ind w:right="40"/>
              <w:jc w:val="right"/>
              <w:rPr>
                <w:sz w:val="17"/>
                <w:szCs w:val="16"/>
              </w:rPr>
            </w:pPr>
          </w:p>
        </w:tc>
        <w:tc>
          <w:tcPr>
            <w:tcW w:w="873" w:type="dxa"/>
            <w:tcBorders>
              <w:top w:val="single" w:sz="4"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40" w:line="210" w:lineRule="exact"/>
              <w:ind w:right="40"/>
              <w:jc w:val="right"/>
              <w:rPr>
                <w:sz w:val="17"/>
                <w:szCs w:val="16"/>
              </w:rPr>
            </w:pPr>
          </w:p>
        </w:tc>
        <w:tc>
          <w:tcPr>
            <w:tcW w:w="990" w:type="dxa"/>
            <w:gridSpan w:val="2"/>
            <w:tcBorders>
              <w:top w:val="single" w:sz="4"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40" w:line="210" w:lineRule="exact"/>
              <w:ind w:right="40"/>
              <w:jc w:val="right"/>
              <w:rPr>
                <w:sz w:val="17"/>
                <w:szCs w:val="16"/>
              </w:rPr>
            </w:pPr>
          </w:p>
        </w:tc>
        <w:tc>
          <w:tcPr>
            <w:tcW w:w="819" w:type="dxa"/>
            <w:tcBorders>
              <w:top w:val="single" w:sz="4"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40" w:line="210" w:lineRule="exact"/>
              <w:ind w:right="40"/>
              <w:jc w:val="right"/>
              <w:rPr>
                <w:sz w:val="17"/>
                <w:szCs w:val="16"/>
              </w:rPr>
            </w:pPr>
          </w:p>
        </w:tc>
        <w:tc>
          <w:tcPr>
            <w:tcW w:w="999" w:type="dxa"/>
            <w:tcBorders>
              <w:top w:val="single" w:sz="4"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40" w:line="210" w:lineRule="exact"/>
              <w:ind w:right="40"/>
              <w:jc w:val="right"/>
              <w:rPr>
                <w:sz w:val="17"/>
                <w:szCs w:val="16"/>
              </w:rPr>
            </w:pPr>
          </w:p>
        </w:tc>
        <w:tc>
          <w:tcPr>
            <w:tcW w:w="954" w:type="dxa"/>
            <w:tcBorders>
              <w:top w:val="single" w:sz="4"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40" w:line="210" w:lineRule="exact"/>
              <w:ind w:right="40"/>
              <w:jc w:val="right"/>
              <w:rPr>
                <w:sz w:val="17"/>
                <w:szCs w:val="16"/>
              </w:rPr>
            </w:pPr>
          </w:p>
        </w:tc>
        <w:tc>
          <w:tcPr>
            <w:tcW w:w="1035" w:type="dxa"/>
            <w:tcBorders>
              <w:top w:val="single" w:sz="4" w:space="0" w:color="auto"/>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81" w:after="40" w:line="210" w:lineRule="exact"/>
              <w:ind w:right="40"/>
              <w:jc w:val="right"/>
              <w:rPr>
                <w:sz w:val="17"/>
                <w:szCs w:val="16"/>
              </w:rPr>
            </w:pPr>
          </w:p>
        </w:tc>
      </w:tr>
      <w:tr w:rsidR="004D26EA" w:rsidRPr="000919BC" w:rsidTr="00681368">
        <w:tc>
          <w:tcPr>
            <w:tcW w:w="2277"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left="576" w:right="40" w:hanging="576"/>
              <w:rPr>
                <w:sz w:val="17"/>
              </w:rPr>
            </w:pPr>
            <w:r w:rsidRPr="000919BC">
              <w:rPr>
                <w:sz w:val="17"/>
              </w:rPr>
              <w:tab/>
              <w:t>1.</w:t>
            </w:r>
            <w:r w:rsidRPr="000919BC">
              <w:rPr>
                <w:sz w:val="17"/>
              </w:rPr>
              <w:tab/>
              <w:t>Consultores</w:t>
            </w:r>
          </w:p>
        </w:tc>
        <w:tc>
          <w:tcPr>
            <w:tcW w:w="1053"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116,3</w:t>
            </w:r>
          </w:p>
        </w:tc>
        <w:tc>
          <w:tcPr>
            <w:tcW w:w="837"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116,3</w:t>
            </w:r>
          </w:p>
        </w:tc>
        <w:tc>
          <w:tcPr>
            <w:tcW w:w="873"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Pr>
                <w:sz w:val="17"/>
                <w:szCs w:val="16"/>
              </w:rPr>
              <w:t>–</w:t>
            </w:r>
          </w:p>
        </w:tc>
        <w:tc>
          <w:tcPr>
            <w:tcW w:w="990" w:type="dxa"/>
            <w:gridSpan w:val="2"/>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116,3</w:t>
            </w:r>
          </w:p>
        </w:tc>
        <w:tc>
          <w:tcPr>
            <w:tcW w:w="819"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370,6</w:t>
            </w:r>
          </w:p>
        </w:tc>
        <w:tc>
          <w:tcPr>
            <w:tcW w:w="999"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Pr>
                <w:sz w:val="17"/>
                <w:szCs w:val="16"/>
              </w:rPr>
              <w:t>–</w:t>
            </w:r>
          </w:p>
        </w:tc>
        <w:tc>
          <w:tcPr>
            <w:tcW w:w="954"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254,3</w:t>
            </w:r>
          </w:p>
        </w:tc>
        <w:tc>
          <w:tcPr>
            <w:tcW w:w="1035"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370,6</w:t>
            </w:r>
          </w:p>
        </w:tc>
      </w:tr>
      <w:tr w:rsidR="004D26EA" w:rsidRPr="000919BC" w:rsidTr="00681368">
        <w:tc>
          <w:tcPr>
            <w:tcW w:w="2277"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left="576" w:right="40" w:hanging="576"/>
              <w:rPr>
                <w:sz w:val="17"/>
              </w:rPr>
            </w:pPr>
            <w:r w:rsidRPr="000919BC">
              <w:rPr>
                <w:sz w:val="17"/>
              </w:rPr>
              <w:tab/>
              <w:t>2.</w:t>
            </w:r>
            <w:r w:rsidRPr="000919BC">
              <w:rPr>
                <w:sz w:val="17"/>
              </w:rPr>
              <w:tab/>
              <w:t>Viajes oficiales</w:t>
            </w:r>
          </w:p>
        </w:tc>
        <w:tc>
          <w:tcPr>
            <w:tcW w:w="1053"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1 412,1</w:t>
            </w:r>
          </w:p>
        </w:tc>
        <w:tc>
          <w:tcPr>
            <w:tcW w:w="837"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1 260,2</w:t>
            </w:r>
          </w:p>
        </w:tc>
        <w:tc>
          <w:tcPr>
            <w:tcW w:w="873"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151,9</w:t>
            </w:r>
          </w:p>
        </w:tc>
        <w:tc>
          <w:tcPr>
            <w:tcW w:w="990" w:type="dxa"/>
            <w:gridSpan w:val="2"/>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1 412,1</w:t>
            </w:r>
          </w:p>
        </w:tc>
        <w:tc>
          <w:tcPr>
            <w:tcW w:w="819"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1 797,0</w:t>
            </w:r>
          </w:p>
        </w:tc>
        <w:tc>
          <w:tcPr>
            <w:tcW w:w="999"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Pr>
                <w:sz w:val="17"/>
                <w:szCs w:val="16"/>
              </w:rPr>
              <w:t>–</w:t>
            </w:r>
          </w:p>
        </w:tc>
        <w:tc>
          <w:tcPr>
            <w:tcW w:w="954"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384,9</w:t>
            </w:r>
          </w:p>
        </w:tc>
        <w:tc>
          <w:tcPr>
            <w:tcW w:w="1035"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1 645,1</w:t>
            </w:r>
          </w:p>
        </w:tc>
      </w:tr>
      <w:tr w:rsidR="004D26EA" w:rsidRPr="000919BC" w:rsidTr="00681368">
        <w:tc>
          <w:tcPr>
            <w:tcW w:w="2277"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left="576" w:right="40" w:hanging="576"/>
              <w:rPr>
                <w:sz w:val="17"/>
              </w:rPr>
            </w:pPr>
            <w:r w:rsidRPr="000919BC">
              <w:rPr>
                <w:sz w:val="17"/>
              </w:rPr>
              <w:tab/>
              <w:t>3.</w:t>
            </w:r>
            <w:r w:rsidRPr="000919BC">
              <w:rPr>
                <w:sz w:val="17"/>
              </w:rPr>
              <w:tab/>
              <w:t>Instalaciones e infraestructura</w:t>
            </w:r>
          </w:p>
        </w:tc>
        <w:tc>
          <w:tcPr>
            <w:tcW w:w="1053"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1 682,6</w:t>
            </w:r>
          </w:p>
        </w:tc>
        <w:tc>
          <w:tcPr>
            <w:tcW w:w="837"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1 721,8</w:t>
            </w:r>
          </w:p>
        </w:tc>
        <w:tc>
          <w:tcPr>
            <w:tcW w:w="873"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(39,2)</w:t>
            </w:r>
          </w:p>
        </w:tc>
        <w:tc>
          <w:tcPr>
            <w:tcW w:w="990" w:type="dxa"/>
            <w:gridSpan w:val="2"/>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1 682,6</w:t>
            </w:r>
          </w:p>
        </w:tc>
        <w:tc>
          <w:tcPr>
            <w:tcW w:w="819"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2 049,1</w:t>
            </w:r>
          </w:p>
        </w:tc>
        <w:tc>
          <w:tcPr>
            <w:tcW w:w="999"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Pr>
                <w:sz w:val="17"/>
              </w:rPr>
              <w:t>–</w:t>
            </w:r>
          </w:p>
        </w:tc>
        <w:tc>
          <w:tcPr>
            <w:tcW w:w="954"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366,5</w:t>
            </w:r>
          </w:p>
        </w:tc>
        <w:tc>
          <w:tcPr>
            <w:tcW w:w="1035"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2 088,3</w:t>
            </w:r>
          </w:p>
        </w:tc>
      </w:tr>
      <w:tr w:rsidR="004D26EA" w:rsidRPr="000919BC" w:rsidTr="00681368">
        <w:tc>
          <w:tcPr>
            <w:tcW w:w="2277"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left="576" w:right="40" w:hanging="576"/>
              <w:rPr>
                <w:sz w:val="17"/>
              </w:rPr>
            </w:pPr>
            <w:r w:rsidRPr="000919BC">
              <w:rPr>
                <w:sz w:val="17"/>
              </w:rPr>
              <w:tab/>
              <w:t>4.</w:t>
            </w:r>
            <w:r w:rsidRPr="000919BC">
              <w:rPr>
                <w:sz w:val="17"/>
              </w:rPr>
              <w:tab/>
              <w:t>Transporte terrestre</w:t>
            </w:r>
          </w:p>
        </w:tc>
        <w:tc>
          <w:tcPr>
            <w:tcW w:w="1053"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180,4</w:t>
            </w:r>
          </w:p>
        </w:tc>
        <w:tc>
          <w:tcPr>
            <w:tcW w:w="837"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40,8</w:t>
            </w:r>
          </w:p>
        </w:tc>
        <w:tc>
          <w:tcPr>
            <w:tcW w:w="873"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139,6</w:t>
            </w:r>
          </w:p>
        </w:tc>
        <w:tc>
          <w:tcPr>
            <w:tcW w:w="990" w:type="dxa"/>
            <w:gridSpan w:val="2"/>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180,4</w:t>
            </w:r>
          </w:p>
        </w:tc>
        <w:tc>
          <w:tcPr>
            <w:tcW w:w="819"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364,3</w:t>
            </w:r>
          </w:p>
        </w:tc>
        <w:tc>
          <w:tcPr>
            <w:tcW w:w="999"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98,4</w:t>
            </w:r>
          </w:p>
        </w:tc>
        <w:tc>
          <w:tcPr>
            <w:tcW w:w="954"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183,9</w:t>
            </w:r>
          </w:p>
        </w:tc>
        <w:tc>
          <w:tcPr>
            <w:tcW w:w="1035"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224,7</w:t>
            </w:r>
          </w:p>
        </w:tc>
      </w:tr>
      <w:tr w:rsidR="004D26EA" w:rsidRPr="000919BC" w:rsidTr="00681368">
        <w:tc>
          <w:tcPr>
            <w:tcW w:w="2277"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left="576" w:right="40" w:hanging="576"/>
              <w:rPr>
                <w:sz w:val="17"/>
              </w:rPr>
            </w:pPr>
            <w:r w:rsidRPr="000919BC">
              <w:rPr>
                <w:sz w:val="17"/>
              </w:rPr>
              <w:tab/>
              <w:t>5.</w:t>
            </w:r>
            <w:r w:rsidRPr="000919BC">
              <w:rPr>
                <w:sz w:val="17"/>
              </w:rPr>
              <w:tab/>
              <w:t>Comunicaciones</w:t>
            </w:r>
          </w:p>
        </w:tc>
        <w:tc>
          <w:tcPr>
            <w:tcW w:w="1053"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509,7</w:t>
            </w:r>
          </w:p>
        </w:tc>
        <w:tc>
          <w:tcPr>
            <w:tcW w:w="837"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311,6</w:t>
            </w:r>
          </w:p>
        </w:tc>
        <w:tc>
          <w:tcPr>
            <w:tcW w:w="873"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198,1</w:t>
            </w:r>
          </w:p>
        </w:tc>
        <w:tc>
          <w:tcPr>
            <w:tcW w:w="990" w:type="dxa"/>
            <w:gridSpan w:val="2"/>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509,7</w:t>
            </w:r>
          </w:p>
        </w:tc>
        <w:tc>
          <w:tcPr>
            <w:tcW w:w="819"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589,2</w:t>
            </w:r>
          </w:p>
        </w:tc>
        <w:tc>
          <w:tcPr>
            <w:tcW w:w="999"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115,0</w:t>
            </w:r>
          </w:p>
        </w:tc>
        <w:tc>
          <w:tcPr>
            <w:tcW w:w="954"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79,5</w:t>
            </w:r>
          </w:p>
        </w:tc>
        <w:tc>
          <w:tcPr>
            <w:tcW w:w="1035"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391,1</w:t>
            </w:r>
          </w:p>
        </w:tc>
      </w:tr>
      <w:tr w:rsidR="004D26EA" w:rsidRPr="000919BC" w:rsidTr="00681368">
        <w:tc>
          <w:tcPr>
            <w:tcW w:w="2277"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left="576" w:right="40" w:hanging="576"/>
              <w:rPr>
                <w:sz w:val="17"/>
              </w:rPr>
            </w:pPr>
            <w:r w:rsidRPr="000919BC">
              <w:rPr>
                <w:sz w:val="17"/>
              </w:rPr>
              <w:tab/>
              <w:t>6.</w:t>
            </w:r>
            <w:r w:rsidRPr="000919BC">
              <w:rPr>
                <w:sz w:val="17"/>
              </w:rPr>
              <w:tab/>
              <w:t>Tecnología de la información</w:t>
            </w:r>
          </w:p>
        </w:tc>
        <w:tc>
          <w:tcPr>
            <w:tcW w:w="1053"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203,7</w:t>
            </w:r>
          </w:p>
        </w:tc>
        <w:tc>
          <w:tcPr>
            <w:tcW w:w="837"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411,5</w:t>
            </w:r>
          </w:p>
        </w:tc>
        <w:tc>
          <w:tcPr>
            <w:tcW w:w="873"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(207,8)</w:t>
            </w:r>
          </w:p>
        </w:tc>
        <w:tc>
          <w:tcPr>
            <w:tcW w:w="990" w:type="dxa"/>
            <w:gridSpan w:val="2"/>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203,7</w:t>
            </w:r>
          </w:p>
        </w:tc>
        <w:tc>
          <w:tcPr>
            <w:tcW w:w="819"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550,4</w:t>
            </w:r>
          </w:p>
        </w:tc>
        <w:tc>
          <w:tcPr>
            <w:tcW w:w="999"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153,4</w:t>
            </w:r>
          </w:p>
        </w:tc>
        <w:tc>
          <w:tcPr>
            <w:tcW w:w="954"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346,7</w:t>
            </w:r>
          </w:p>
        </w:tc>
        <w:tc>
          <w:tcPr>
            <w:tcW w:w="1035"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758,2</w:t>
            </w:r>
          </w:p>
        </w:tc>
      </w:tr>
      <w:tr w:rsidR="004D26EA" w:rsidRPr="000919BC" w:rsidTr="00681368">
        <w:tc>
          <w:tcPr>
            <w:tcW w:w="2277"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left="576" w:right="40" w:hanging="576"/>
              <w:rPr>
                <w:sz w:val="17"/>
              </w:rPr>
            </w:pPr>
            <w:r w:rsidRPr="000919BC">
              <w:rPr>
                <w:sz w:val="17"/>
              </w:rPr>
              <w:tab/>
              <w:t>7.</w:t>
            </w:r>
            <w:r w:rsidRPr="000919BC">
              <w:rPr>
                <w:sz w:val="17"/>
              </w:rPr>
              <w:tab/>
              <w:t>Gastos médicos</w:t>
            </w:r>
          </w:p>
        </w:tc>
        <w:tc>
          <w:tcPr>
            <w:tcW w:w="1053"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204,0</w:t>
            </w:r>
          </w:p>
        </w:tc>
        <w:tc>
          <w:tcPr>
            <w:tcW w:w="837"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218,1</w:t>
            </w:r>
          </w:p>
        </w:tc>
        <w:tc>
          <w:tcPr>
            <w:tcW w:w="873"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(14,1)</w:t>
            </w:r>
          </w:p>
        </w:tc>
        <w:tc>
          <w:tcPr>
            <w:tcW w:w="990" w:type="dxa"/>
            <w:gridSpan w:val="2"/>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204,0</w:t>
            </w:r>
          </w:p>
        </w:tc>
        <w:tc>
          <w:tcPr>
            <w:tcW w:w="819"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247,2</w:t>
            </w:r>
          </w:p>
        </w:tc>
        <w:tc>
          <w:tcPr>
            <w:tcW w:w="999"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Pr>
                <w:sz w:val="17"/>
                <w:szCs w:val="16"/>
              </w:rPr>
              <w:t>–</w:t>
            </w:r>
          </w:p>
        </w:tc>
        <w:tc>
          <w:tcPr>
            <w:tcW w:w="954"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43,2</w:t>
            </w:r>
          </w:p>
        </w:tc>
        <w:tc>
          <w:tcPr>
            <w:tcW w:w="1035" w:type="dxa"/>
            <w:tcBorders>
              <w:top w:val="nil"/>
              <w:left w:val="nil"/>
              <w:bottom w:val="nil"/>
              <w:right w:val="nil"/>
            </w:tcBorders>
            <w:shd w:val="clear" w:color="auto" w:fill="auto"/>
            <w:vAlign w:val="bottom"/>
          </w:tcPr>
          <w:p w:rsidR="004D26EA" w:rsidRPr="000919BC" w:rsidRDefault="004D26EA" w:rsidP="004D26EA">
            <w:pPr>
              <w:tabs>
                <w:tab w:val="left" w:pos="288"/>
                <w:tab w:val="left" w:pos="576"/>
                <w:tab w:val="left" w:pos="864"/>
                <w:tab w:val="left" w:pos="1152"/>
              </w:tabs>
              <w:spacing w:before="40" w:after="40" w:line="210" w:lineRule="exact"/>
              <w:ind w:right="40"/>
              <w:jc w:val="right"/>
              <w:rPr>
                <w:sz w:val="17"/>
                <w:szCs w:val="16"/>
              </w:rPr>
            </w:pPr>
            <w:r w:rsidRPr="000919BC">
              <w:rPr>
                <w:sz w:val="17"/>
              </w:rPr>
              <w:t>261,3</w:t>
            </w:r>
          </w:p>
        </w:tc>
      </w:tr>
      <w:tr w:rsidR="004D26EA" w:rsidRPr="000919BC" w:rsidTr="00681368">
        <w:tc>
          <w:tcPr>
            <w:tcW w:w="2277" w:type="dxa"/>
            <w:tcBorders>
              <w:top w:val="nil"/>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120" w:after="81" w:line="210" w:lineRule="exact"/>
              <w:ind w:left="576" w:right="40" w:hanging="576"/>
              <w:rPr>
                <w:sz w:val="17"/>
              </w:rPr>
            </w:pPr>
            <w:r w:rsidRPr="000919BC">
              <w:rPr>
                <w:sz w:val="17"/>
              </w:rPr>
              <w:tab/>
              <w:t>8.</w:t>
            </w:r>
            <w:r w:rsidRPr="000919BC">
              <w:rPr>
                <w:sz w:val="17"/>
              </w:rPr>
              <w:tab/>
              <w:t>Suministros, servicios y equipo de otro tipo</w:t>
            </w:r>
          </w:p>
        </w:tc>
        <w:tc>
          <w:tcPr>
            <w:tcW w:w="1053" w:type="dxa"/>
            <w:tcBorders>
              <w:top w:val="nil"/>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40" w:after="81" w:line="210" w:lineRule="exact"/>
              <w:ind w:right="40"/>
              <w:jc w:val="right"/>
              <w:rPr>
                <w:sz w:val="17"/>
                <w:szCs w:val="16"/>
              </w:rPr>
            </w:pPr>
            <w:r w:rsidRPr="000919BC">
              <w:rPr>
                <w:sz w:val="17"/>
              </w:rPr>
              <w:t>252,1</w:t>
            </w:r>
          </w:p>
        </w:tc>
        <w:tc>
          <w:tcPr>
            <w:tcW w:w="837" w:type="dxa"/>
            <w:tcBorders>
              <w:top w:val="nil"/>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40" w:after="81" w:line="210" w:lineRule="exact"/>
              <w:ind w:right="40"/>
              <w:jc w:val="right"/>
              <w:rPr>
                <w:sz w:val="17"/>
                <w:szCs w:val="16"/>
              </w:rPr>
            </w:pPr>
            <w:r w:rsidRPr="000919BC">
              <w:rPr>
                <w:sz w:val="17"/>
              </w:rPr>
              <w:t>178,6</w:t>
            </w:r>
          </w:p>
        </w:tc>
        <w:tc>
          <w:tcPr>
            <w:tcW w:w="873" w:type="dxa"/>
            <w:tcBorders>
              <w:top w:val="nil"/>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40" w:after="81" w:line="210" w:lineRule="exact"/>
              <w:ind w:right="40"/>
              <w:jc w:val="right"/>
              <w:rPr>
                <w:sz w:val="17"/>
                <w:szCs w:val="16"/>
              </w:rPr>
            </w:pPr>
            <w:r w:rsidRPr="000919BC">
              <w:rPr>
                <w:sz w:val="17"/>
              </w:rPr>
              <w:t>73,5</w:t>
            </w:r>
          </w:p>
        </w:tc>
        <w:tc>
          <w:tcPr>
            <w:tcW w:w="990" w:type="dxa"/>
            <w:gridSpan w:val="2"/>
            <w:tcBorders>
              <w:top w:val="nil"/>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40" w:after="81" w:line="210" w:lineRule="exact"/>
              <w:ind w:right="40"/>
              <w:jc w:val="right"/>
              <w:rPr>
                <w:sz w:val="17"/>
                <w:szCs w:val="16"/>
              </w:rPr>
            </w:pPr>
            <w:r w:rsidRPr="000919BC">
              <w:rPr>
                <w:sz w:val="17"/>
              </w:rPr>
              <w:t>252,1</w:t>
            </w:r>
          </w:p>
        </w:tc>
        <w:tc>
          <w:tcPr>
            <w:tcW w:w="819" w:type="dxa"/>
            <w:tcBorders>
              <w:top w:val="nil"/>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40" w:after="81" w:line="210" w:lineRule="exact"/>
              <w:ind w:right="40"/>
              <w:jc w:val="right"/>
              <w:rPr>
                <w:sz w:val="17"/>
                <w:szCs w:val="16"/>
              </w:rPr>
            </w:pPr>
            <w:r w:rsidRPr="000919BC">
              <w:rPr>
                <w:sz w:val="17"/>
              </w:rPr>
              <w:t>404,2</w:t>
            </w:r>
          </w:p>
        </w:tc>
        <w:tc>
          <w:tcPr>
            <w:tcW w:w="999" w:type="dxa"/>
            <w:tcBorders>
              <w:top w:val="nil"/>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40" w:after="81" w:line="210" w:lineRule="exact"/>
              <w:ind w:right="40"/>
              <w:jc w:val="right"/>
              <w:rPr>
                <w:sz w:val="17"/>
                <w:szCs w:val="16"/>
              </w:rPr>
            </w:pPr>
            <w:r w:rsidRPr="000919BC">
              <w:rPr>
                <w:sz w:val="17"/>
              </w:rPr>
              <w:t>60,0</w:t>
            </w:r>
          </w:p>
        </w:tc>
        <w:tc>
          <w:tcPr>
            <w:tcW w:w="954" w:type="dxa"/>
            <w:tcBorders>
              <w:top w:val="nil"/>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40" w:after="81" w:line="210" w:lineRule="exact"/>
              <w:ind w:right="40"/>
              <w:jc w:val="right"/>
              <w:rPr>
                <w:sz w:val="17"/>
                <w:szCs w:val="16"/>
              </w:rPr>
            </w:pPr>
            <w:r w:rsidRPr="000919BC">
              <w:rPr>
                <w:sz w:val="17"/>
              </w:rPr>
              <w:t>152,1</w:t>
            </w:r>
          </w:p>
        </w:tc>
        <w:tc>
          <w:tcPr>
            <w:tcW w:w="1035" w:type="dxa"/>
            <w:tcBorders>
              <w:top w:val="nil"/>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40" w:after="81" w:line="210" w:lineRule="exact"/>
              <w:ind w:right="40"/>
              <w:jc w:val="right"/>
              <w:rPr>
                <w:sz w:val="17"/>
                <w:szCs w:val="16"/>
              </w:rPr>
            </w:pPr>
            <w:r w:rsidRPr="000919BC">
              <w:rPr>
                <w:sz w:val="17"/>
              </w:rPr>
              <w:t>330,7</w:t>
            </w:r>
          </w:p>
        </w:tc>
      </w:tr>
      <w:tr w:rsidR="004D26EA" w:rsidRPr="000919BC" w:rsidTr="00681368">
        <w:tc>
          <w:tcPr>
            <w:tcW w:w="2277"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81" w:after="81" w:line="210" w:lineRule="exact"/>
              <w:ind w:right="43"/>
              <w:rPr>
                <w:b/>
                <w:bCs/>
                <w:sz w:val="17"/>
                <w:szCs w:val="16"/>
              </w:rPr>
            </w:pPr>
            <w:r w:rsidRPr="000919BC">
              <w:rPr>
                <w:b/>
                <w:sz w:val="17"/>
              </w:rPr>
              <w:tab/>
              <w:t>Total de la categoría II</w:t>
            </w:r>
          </w:p>
        </w:tc>
        <w:tc>
          <w:tcPr>
            <w:tcW w:w="1053"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81" w:after="81" w:line="210" w:lineRule="exact"/>
              <w:ind w:right="43"/>
              <w:jc w:val="right"/>
              <w:rPr>
                <w:b/>
                <w:sz w:val="17"/>
                <w:szCs w:val="16"/>
              </w:rPr>
            </w:pPr>
            <w:r w:rsidRPr="000919BC">
              <w:rPr>
                <w:b/>
                <w:sz w:val="17"/>
              </w:rPr>
              <w:t>4 560,9</w:t>
            </w:r>
          </w:p>
        </w:tc>
        <w:tc>
          <w:tcPr>
            <w:tcW w:w="837"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81" w:after="81" w:line="210" w:lineRule="exact"/>
              <w:ind w:right="43"/>
              <w:jc w:val="right"/>
              <w:rPr>
                <w:b/>
                <w:sz w:val="17"/>
                <w:szCs w:val="16"/>
              </w:rPr>
            </w:pPr>
            <w:r w:rsidRPr="000919BC">
              <w:rPr>
                <w:b/>
                <w:sz w:val="17"/>
              </w:rPr>
              <w:t>4 258,9</w:t>
            </w:r>
          </w:p>
        </w:tc>
        <w:tc>
          <w:tcPr>
            <w:tcW w:w="873"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81" w:after="81" w:line="210" w:lineRule="exact"/>
              <w:ind w:right="43"/>
              <w:jc w:val="right"/>
              <w:rPr>
                <w:b/>
                <w:sz w:val="17"/>
                <w:szCs w:val="16"/>
              </w:rPr>
            </w:pPr>
            <w:r w:rsidRPr="000919BC">
              <w:rPr>
                <w:b/>
                <w:sz w:val="17"/>
              </w:rPr>
              <w:t>302,0</w:t>
            </w:r>
          </w:p>
        </w:tc>
        <w:tc>
          <w:tcPr>
            <w:tcW w:w="990" w:type="dxa"/>
            <w:gridSpan w:val="2"/>
            <w:tcBorders>
              <w:top w:val="single" w:sz="4" w:space="0" w:color="auto"/>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81" w:after="81" w:line="210" w:lineRule="exact"/>
              <w:ind w:right="43"/>
              <w:jc w:val="right"/>
              <w:rPr>
                <w:b/>
                <w:sz w:val="17"/>
                <w:szCs w:val="16"/>
              </w:rPr>
            </w:pPr>
            <w:r w:rsidRPr="000919BC">
              <w:rPr>
                <w:b/>
                <w:sz w:val="17"/>
              </w:rPr>
              <w:t>4 560,9</w:t>
            </w:r>
          </w:p>
        </w:tc>
        <w:tc>
          <w:tcPr>
            <w:tcW w:w="819"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81" w:after="81" w:line="210" w:lineRule="exact"/>
              <w:ind w:right="43"/>
              <w:jc w:val="right"/>
              <w:rPr>
                <w:b/>
                <w:sz w:val="17"/>
                <w:szCs w:val="16"/>
              </w:rPr>
            </w:pPr>
            <w:r w:rsidRPr="000919BC">
              <w:rPr>
                <w:b/>
                <w:sz w:val="17"/>
              </w:rPr>
              <w:t>6 372,0</w:t>
            </w:r>
          </w:p>
        </w:tc>
        <w:tc>
          <w:tcPr>
            <w:tcW w:w="999"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81" w:after="81" w:line="210" w:lineRule="exact"/>
              <w:ind w:right="43"/>
              <w:jc w:val="right"/>
              <w:rPr>
                <w:b/>
                <w:sz w:val="17"/>
                <w:szCs w:val="16"/>
              </w:rPr>
            </w:pPr>
            <w:r w:rsidRPr="000919BC">
              <w:rPr>
                <w:b/>
                <w:sz w:val="17"/>
              </w:rPr>
              <w:t>426,8</w:t>
            </w:r>
          </w:p>
        </w:tc>
        <w:tc>
          <w:tcPr>
            <w:tcW w:w="954"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81" w:after="81" w:line="210" w:lineRule="exact"/>
              <w:ind w:right="43"/>
              <w:jc w:val="right"/>
              <w:rPr>
                <w:b/>
                <w:sz w:val="17"/>
                <w:szCs w:val="16"/>
              </w:rPr>
            </w:pPr>
            <w:r w:rsidRPr="000919BC">
              <w:rPr>
                <w:b/>
                <w:sz w:val="17"/>
              </w:rPr>
              <w:t>1 811,1</w:t>
            </w:r>
          </w:p>
        </w:tc>
        <w:tc>
          <w:tcPr>
            <w:tcW w:w="1035" w:type="dxa"/>
            <w:tcBorders>
              <w:top w:val="single" w:sz="4" w:space="0" w:color="auto"/>
              <w:left w:val="nil"/>
              <w:bottom w:val="single" w:sz="4" w:space="0" w:color="auto"/>
              <w:right w:val="nil"/>
            </w:tcBorders>
            <w:shd w:val="clear" w:color="auto" w:fill="auto"/>
            <w:vAlign w:val="bottom"/>
          </w:tcPr>
          <w:p w:rsidR="004D26EA" w:rsidRPr="000919BC" w:rsidRDefault="004D26EA" w:rsidP="004D26EA">
            <w:pPr>
              <w:keepNext/>
              <w:keepLines/>
              <w:tabs>
                <w:tab w:val="left" w:pos="288"/>
                <w:tab w:val="left" w:pos="576"/>
                <w:tab w:val="left" w:pos="864"/>
                <w:tab w:val="left" w:pos="1152"/>
              </w:tabs>
              <w:spacing w:before="81" w:after="81" w:line="210" w:lineRule="exact"/>
              <w:ind w:right="43"/>
              <w:jc w:val="right"/>
              <w:rPr>
                <w:b/>
                <w:sz w:val="17"/>
                <w:szCs w:val="16"/>
              </w:rPr>
            </w:pPr>
            <w:r w:rsidRPr="000919BC">
              <w:rPr>
                <w:b/>
                <w:sz w:val="17"/>
              </w:rPr>
              <w:t>6 070,0</w:t>
            </w:r>
          </w:p>
        </w:tc>
      </w:tr>
      <w:tr w:rsidR="004D26EA" w:rsidRPr="00AF6ACD" w:rsidTr="00681368">
        <w:tc>
          <w:tcPr>
            <w:tcW w:w="2277" w:type="dxa"/>
            <w:tcBorders>
              <w:top w:val="single" w:sz="4" w:space="0" w:color="auto"/>
              <w:left w:val="nil"/>
              <w:bottom w:val="single" w:sz="12" w:space="0" w:color="auto"/>
              <w:right w:val="nil"/>
            </w:tcBorders>
            <w:shd w:val="clear" w:color="auto" w:fill="auto"/>
            <w:vAlign w:val="bottom"/>
          </w:tcPr>
          <w:p w:rsidR="004D26EA" w:rsidRPr="00C1074D" w:rsidRDefault="004D26EA" w:rsidP="004D26EA">
            <w:pPr>
              <w:tabs>
                <w:tab w:val="left" w:pos="288"/>
                <w:tab w:val="left" w:pos="576"/>
                <w:tab w:val="left" w:pos="864"/>
                <w:tab w:val="left" w:pos="1152"/>
              </w:tabs>
              <w:spacing w:before="81" w:after="81" w:line="210" w:lineRule="exact"/>
              <w:ind w:left="288" w:right="40" w:hanging="288"/>
              <w:rPr>
                <w:b/>
                <w:bCs/>
                <w:sz w:val="17"/>
                <w:szCs w:val="17"/>
              </w:rPr>
            </w:pPr>
            <w:r>
              <w:rPr>
                <w:b/>
                <w:sz w:val="17"/>
                <w:szCs w:val="17"/>
              </w:rPr>
              <w:tab/>
            </w:r>
            <w:r w:rsidRPr="00C1074D">
              <w:rPr>
                <w:b/>
                <w:sz w:val="17"/>
                <w:szCs w:val="17"/>
              </w:rPr>
              <w:t>Total (deducidas las contribuciones del personal)</w:t>
            </w:r>
          </w:p>
        </w:tc>
        <w:tc>
          <w:tcPr>
            <w:tcW w:w="1053" w:type="dxa"/>
            <w:tcBorders>
              <w:top w:val="single" w:sz="4" w:space="0" w:color="auto"/>
              <w:left w:val="nil"/>
              <w:bottom w:val="single" w:sz="12" w:space="0" w:color="auto"/>
              <w:right w:val="nil"/>
            </w:tcBorders>
            <w:shd w:val="clear" w:color="auto" w:fill="auto"/>
            <w:vAlign w:val="bottom"/>
          </w:tcPr>
          <w:p w:rsidR="004D26EA" w:rsidRPr="00C1074D" w:rsidRDefault="004D26EA" w:rsidP="004D26EA">
            <w:pPr>
              <w:spacing w:before="81" w:after="81"/>
              <w:ind w:right="40"/>
              <w:jc w:val="right"/>
              <w:rPr>
                <w:b/>
                <w:sz w:val="17"/>
                <w:szCs w:val="17"/>
              </w:rPr>
            </w:pPr>
            <w:r w:rsidRPr="00C1074D">
              <w:rPr>
                <w:b/>
                <w:sz w:val="17"/>
                <w:szCs w:val="17"/>
              </w:rPr>
              <w:t>7 763,7</w:t>
            </w:r>
          </w:p>
        </w:tc>
        <w:tc>
          <w:tcPr>
            <w:tcW w:w="837" w:type="dxa"/>
            <w:tcBorders>
              <w:top w:val="single" w:sz="4" w:space="0" w:color="auto"/>
              <w:left w:val="nil"/>
              <w:bottom w:val="single" w:sz="12" w:space="0" w:color="auto"/>
              <w:right w:val="nil"/>
            </w:tcBorders>
            <w:shd w:val="clear" w:color="auto" w:fill="auto"/>
            <w:vAlign w:val="bottom"/>
          </w:tcPr>
          <w:p w:rsidR="004D26EA" w:rsidRPr="00C1074D" w:rsidRDefault="004D26EA" w:rsidP="004D26EA">
            <w:pPr>
              <w:spacing w:before="81" w:after="81"/>
              <w:ind w:right="40"/>
              <w:jc w:val="right"/>
              <w:rPr>
                <w:b/>
                <w:sz w:val="17"/>
                <w:szCs w:val="17"/>
              </w:rPr>
            </w:pPr>
            <w:r w:rsidRPr="00C1074D">
              <w:rPr>
                <w:b/>
                <w:sz w:val="17"/>
                <w:szCs w:val="17"/>
              </w:rPr>
              <w:t>7 548,7</w:t>
            </w:r>
          </w:p>
        </w:tc>
        <w:tc>
          <w:tcPr>
            <w:tcW w:w="873" w:type="dxa"/>
            <w:tcBorders>
              <w:top w:val="single" w:sz="4" w:space="0" w:color="auto"/>
              <w:left w:val="nil"/>
              <w:bottom w:val="single" w:sz="12" w:space="0" w:color="auto"/>
              <w:right w:val="nil"/>
            </w:tcBorders>
            <w:shd w:val="clear" w:color="auto" w:fill="auto"/>
            <w:vAlign w:val="bottom"/>
          </w:tcPr>
          <w:p w:rsidR="004D26EA" w:rsidRPr="00C1074D" w:rsidRDefault="004D26EA" w:rsidP="004D26EA">
            <w:pPr>
              <w:spacing w:before="81" w:after="81"/>
              <w:ind w:right="40"/>
              <w:jc w:val="right"/>
              <w:rPr>
                <w:b/>
                <w:sz w:val="17"/>
                <w:szCs w:val="17"/>
              </w:rPr>
            </w:pPr>
            <w:r w:rsidRPr="00C1074D">
              <w:rPr>
                <w:b/>
                <w:sz w:val="17"/>
                <w:szCs w:val="17"/>
              </w:rPr>
              <w:t>215,0</w:t>
            </w:r>
          </w:p>
        </w:tc>
        <w:tc>
          <w:tcPr>
            <w:tcW w:w="990" w:type="dxa"/>
            <w:gridSpan w:val="2"/>
            <w:tcBorders>
              <w:top w:val="single" w:sz="4" w:space="0" w:color="auto"/>
              <w:left w:val="nil"/>
              <w:bottom w:val="single" w:sz="12" w:space="0" w:color="auto"/>
              <w:right w:val="nil"/>
            </w:tcBorders>
            <w:shd w:val="clear" w:color="auto" w:fill="auto"/>
            <w:vAlign w:val="bottom"/>
          </w:tcPr>
          <w:p w:rsidR="004D26EA" w:rsidRPr="00C1074D" w:rsidRDefault="004D26EA" w:rsidP="004D26EA">
            <w:pPr>
              <w:spacing w:before="81" w:after="81"/>
              <w:ind w:right="40"/>
              <w:jc w:val="right"/>
              <w:rPr>
                <w:b/>
                <w:sz w:val="17"/>
                <w:szCs w:val="17"/>
              </w:rPr>
            </w:pPr>
            <w:r w:rsidRPr="00C1074D">
              <w:rPr>
                <w:b/>
                <w:sz w:val="17"/>
                <w:szCs w:val="17"/>
              </w:rPr>
              <w:t>7 763,7</w:t>
            </w:r>
          </w:p>
        </w:tc>
        <w:tc>
          <w:tcPr>
            <w:tcW w:w="819" w:type="dxa"/>
            <w:tcBorders>
              <w:top w:val="single" w:sz="4" w:space="0" w:color="auto"/>
              <w:left w:val="nil"/>
              <w:bottom w:val="single" w:sz="12" w:space="0" w:color="auto"/>
              <w:right w:val="nil"/>
            </w:tcBorders>
            <w:shd w:val="clear" w:color="auto" w:fill="auto"/>
            <w:vAlign w:val="bottom"/>
          </w:tcPr>
          <w:p w:rsidR="004D26EA" w:rsidRPr="00C1074D" w:rsidRDefault="004D26EA" w:rsidP="004D26EA">
            <w:pPr>
              <w:spacing w:before="81" w:after="81"/>
              <w:ind w:right="40"/>
              <w:jc w:val="right"/>
              <w:rPr>
                <w:b/>
                <w:sz w:val="17"/>
                <w:szCs w:val="17"/>
              </w:rPr>
            </w:pPr>
            <w:r w:rsidRPr="00C1074D">
              <w:rPr>
                <w:b/>
                <w:sz w:val="17"/>
                <w:szCs w:val="17"/>
              </w:rPr>
              <w:t>11 927,1</w:t>
            </w:r>
          </w:p>
        </w:tc>
        <w:tc>
          <w:tcPr>
            <w:tcW w:w="999" w:type="dxa"/>
            <w:tcBorders>
              <w:top w:val="single" w:sz="4" w:space="0" w:color="auto"/>
              <w:left w:val="nil"/>
              <w:bottom w:val="single" w:sz="12" w:space="0" w:color="auto"/>
              <w:right w:val="nil"/>
            </w:tcBorders>
            <w:shd w:val="clear" w:color="auto" w:fill="auto"/>
            <w:vAlign w:val="bottom"/>
          </w:tcPr>
          <w:p w:rsidR="004D26EA" w:rsidRPr="00C1074D" w:rsidRDefault="004D26EA" w:rsidP="004D26EA">
            <w:pPr>
              <w:spacing w:before="81" w:after="81"/>
              <w:ind w:right="40"/>
              <w:jc w:val="right"/>
              <w:rPr>
                <w:b/>
                <w:sz w:val="17"/>
                <w:szCs w:val="17"/>
              </w:rPr>
            </w:pPr>
            <w:r w:rsidRPr="00C1074D">
              <w:rPr>
                <w:b/>
                <w:sz w:val="17"/>
                <w:szCs w:val="17"/>
              </w:rPr>
              <w:t>426,8</w:t>
            </w:r>
          </w:p>
        </w:tc>
        <w:tc>
          <w:tcPr>
            <w:tcW w:w="954" w:type="dxa"/>
            <w:tcBorders>
              <w:top w:val="single" w:sz="4" w:space="0" w:color="auto"/>
              <w:left w:val="nil"/>
              <w:bottom w:val="single" w:sz="12" w:space="0" w:color="auto"/>
              <w:right w:val="nil"/>
            </w:tcBorders>
            <w:shd w:val="clear" w:color="auto" w:fill="auto"/>
            <w:vAlign w:val="bottom"/>
          </w:tcPr>
          <w:p w:rsidR="004D26EA" w:rsidRPr="00C1074D" w:rsidRDefault="004D26EA" w:rsidP="004D26EA">
            <w:pPr>
              <w:spacing w:before="81" w:after="81"/>
              <w:ind w:right="40"/>
              <w:jc w:val="right"/>
              <w:rPr>
                <w:b/>
                <w:sz w:val="17"/>
                <w:szCs w:val="17"/>
              </w:rPr>
            </w:pPr>
            <w:r w:rsidRPr="00C1074D">
              <w:rPr>
                <w:b/>
                <w:sz w:val="17"/>
                <w:szCs w:val="17"/>
              </w:rPr>
              <w:t>4 163,4</w:t>
            </w:r>
          </w:p>
        </w:tc>
        <w:tc>
          <w:tcPr>
            <w:tcW w:w="1035" w:type="dxa"/>
            <w:tcBorders>
              <w:top w:val="single" w:sz="4" w:space="0" w:color="auto"/>
              <w:left w:val="nil"/>
              <w:bottom w:val="single" w:sz="12" w:space="0" w:color="auto"/>
              <w:right w:val="nil"/>
            </w:tcBorders>
            <w:shd w:val="clear" w:color="auto" w:fill="auto"/>
            <w:vAlign w:val="bottom"/>
          </w:tcPr>
          <w:p w:rsidR="004D26EA" w:rsidRPr="00C1074D" w:rsidRDefault="004D26EA" w:rsidP="004D26EA">
            <w:pPr>
              <w:spacing w:before="81" w:after="81"/>
              <w:ind w:right="40"/>
              <w:jc w:val="right"/>
              <w:rPr>
                <w:b/>
                <w:sz w:val="17"/>
                <w:szCs w:val="17"/>
              </w:rPr>
            </w:pPr>
            <w:r w:rsidRPr="00C1074D">
              <w:rPr>
                <w:b/>
                <w:sz w:val="17"/>
                <w:szCs w:val="17"/>
              </w:rPr>
              <w:t>11 712,1</w:t>
            </w:r>
          </w:p>
        </w:tc>
      </w:tr>
    </w:tbl>
    <w:p w:rsidR="004D26EA" w:rsidRPr="000919BC" w:rsidRDefault="004D26EA" w:rsidP="004D26EA">
      <w:pPr>
        <w:pStyle w:val="SingleTxt"/>
        <w:spacing w:after="0" w:line="120" w:lineRule="exact"/>
        <w:rPr>
          <w:sz w:val="10"/>
          <w:lang w:val="es-ES_tradnl"/>
        </w:rPr>
      </w:pPr>
    </w:p>
    <w:p w:rsidR="004D26EA" w:rsidRPr="000919BC" w:rsidRDefault="004D26EA" w:rsidP="004D26EA">
      <w:pPr>
        <w:pStyle w:val="FootnoteText"/>
        <w:tabs>
          <w:tab w:val="clear" w:pos="418"/>
          <w:tab w:val="right" w:pos="216"/>
          <w:tab w:val="left" w:pos="288"/>
          <w:tab w:val="right" w:pos="576"/>
          <w:tab w:val="left" w:pos="648"/>
        </w:tabs>
        <w:ind w:left="288" w:right="570" w:hanging="288"/>
      </w:pPr>
      <w:r w:rsidRPr="000919BC">
        <w:rPr>
          <w:vertAlign w:val="superscript"/>
        </w:rPr>
        <w:tab/>
      </w:r>
      <w:r w:rsidRPr="000919BC">
        <w:rPr>
          <w:i/>
          <w:vertAlign w:val="superscript"/>
        </w:rPr>
        <w:t>a</w:t>
      </w:r>
      <w:r w:rsidRPr="000919BC">
        <w:rPr>
          <w:vertAlign w:val="superscript"/>
        </w:rPr>
        <w:tab/>
      </w:r>
      <w:r w:rsidRPr="000919BC">
        <w:t xml:space="preserve">Necesidades en cifras netas después de tener en cuenta la estimación de gastos inferiores o superiores a los previstos para 2016. </w:t>
      </w:r>
    </w:p>
    <w:p w:rsidR="004D26EA" w:rsidRPr="000919BC" w:rsidRDefault="004D26EA" w:rsidP="004D26EA">
      <w:pPr>
        <w:pStyle w:val="SingleTxt"/>
        <w:spacing w:after="0" w:line="120" w:lineRule="exact"/>
        <w:rPr>
          <w:b/>
          <w:sz w:val="10"/>
        </w:rPr>
      </w:pPr>
    </w:p>
    <w:p w:rsidR="004D26EA" w:rsidRPr="000919BC" w:rsidRDefault="004D26EA" w:rsidP="004D26EA">
      <w:pPr>
        <w:pStyle w:val="SingleTxt"/>
        <w:spacing w:after="0" w:line="120" w:lineRule="exact"/>
        <w:rPr>
          <w:b/>
          <w:sz w:val="10"/>
        </w:rPr>
      </w:pPr>
    </w:p>
    <w:p w:rsidR="004D26EA" w:rsidRPr="000919BC" w:rsidRDefault="004D26EA" w:rsidP="004D26EA">
      <w:pPr>
        <w:pStyle w:val="SingleTxt"/>
        <w:spacing w:after="0" w:line="120" w:lineRule="exact"/>
        <w:rPr>
          <w:b/>
          <w:sz w:val="10"/>
        </w:rPr>
      </w:pPr>
    </w:p>
    <w:p w:rsidR="004D26EA" w:rsidRPr="000919BC" w:rsidRDefault="004D26EA" w:rsidP="004D2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919BC">
        <w:tab/>
      </w:r>
      <w:r w:rsidRPr="000919BC">
        <w:tab/>
        <w:t>Necesidades de personal</w:t>
      </w:r>
    </w:p>
    <w:p w:rsidR="004D26EA" w:rsidRPr="000919BC" w:rsidRDefault="004D26EA" w:rsidP="004D26EA">
      <w:pPr>
        <w:pStyle w:val="SingleTxt"/>
        <w:spacing w:after="0" w:line="120" w:lineRule="exact"/>
        <w:rPr>
          <w:sz w:val="10"/>
        </w:rPr>
      </w:pPr>
    </w:p>
    <w:p w:rsidR="004D26EA" w:rsidRPr="000919BC" w:rsidRDefault="004D26EA" w:rsidP="004D26EA">
      <w:pPr>
        <w:pStyle w:val="SingleTxt"/>
        <w:numPr>
          <w:ilvl w:val="0"/>
          <w:numId w:val="25"/>
        </w:numPr>
        <w:ind w:left="1267"/>
        <w:rPr>
          <w:lang w:val="es-ES_tradnl"/>
        </w:rPr>
      </w:pPr>
      <w:r w:rsidRPr="000919BC">
        <w:t>En el cuadro 6 que figura a continuación se presenta un desglose de las plazas aprobadas para 2016 y las propuestas para 2017. La propuesta incluye 20 nuevas plazas (2 P-5, 7 P-4, 2 P-3, 5 del Servicio Móvil, 1 de Servicios Generales (otras categorías), 1 de funcionario nacional del Cuadro Orgánico y 2 de contratación local).</w:t>
      </w:r>
    </w:p>
    <w:p w:rsidR="004D26EA" w:rsidRPr="000919BC" w:rsidRDefault="004D26EA" w:rsidP="004D26EA">
      <w:pPr>
        <w:pStyle w:val="SingleTxt"/>
        <w:spacing w:after="0" w:line="120" w:lineRule="exact"/>
        <w:rPr>
          <w:sz w:val="10"/>
          <w:lang w:val="es-ES_tradnl"/>
        </w:rPr>
      </w:pPr>
    </w:p>
    <w:p w:rsidR="004D26EA" w:rsidRPr="000919BC" w:rsidRDefault="004D26EA" w:rsidP="004D2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es-ES_tradnl"/>
        </w:rPr>
      </w:pPr>
      <w:r w:rsidRPr="000919BC">
        <w:rPr>
          <w:b w:val="0"/>
          <w:bCs/>
          <w:lang w:val="es-ES_tradnl"/>
        </w:rPr>
        <w:t>Cuadro 6</w:t>
      </w:r>
      <w:r w:rsidRPr="000919BC">
        <w:rPr>
          <w:lang w:val="es-ES_tradnl"/>
        </w:rPr>
        <w:br/>
        <w:t>Plazas</w:t>
      </w:r>
    </w:p>
    <w:p w:rsidR="004D26EA" w:rsidRPr="000919BC" w:rsidRDefault="004D26EA" w:rsidP="004D26EA">
      <w:pPr>
        <w:spacing w:line="120" w:lineRule="exact"/>
        <w:rPr>
          <w:sz w:val="10"/>
          <w:lang w:val="es-ES_tradnl"/>
        </w:rPr>
      </w:pPr>
    </w:p>
    <w:p w:rsidR="004D26EA" w:rsidRPr="000919BC" w:rsidRDefault="004D26EA" w:rsidP="004D26EA">
      <w:pPr>
        <w:spacing w:line="120" w:lineRule="exact"/>
        <w:rPr>
          <w:sz w:val="10"/>
          <w:lang w:val="es-ES_tradnl"/>
        </w:rPr>
      </w:pPr>
    </w:p>
    <w:tbl>
      <w:tblPr>
        <w:tblW w:w="9837" w:type="dxa"/>
        <w:tblLayout w:type="fixed"/>
        <w:tblCellMar>
          <w:left w:w="0" w:type="dxa"/>
          <w:right w:w="0" w:type="dxa"/>
        </w:tblCellMar>
        <w:tblLook w:val="04A0" w:firstRow="1" w:lastRow="0" w:firstColumn="1" w:lastColumn="0" w:noHBand="0" w:noVBand="1"/>
      </w:tblPr>
      <w:tblGrid>
        <w:gridCol w:w="1233"/>
        <w:gridCol w:w="364"/>
        <w:gridCol w:w="410"/>
        <w:gridCol w:w="409"/>
        <w:gridCol w:w="410"/>
        <w:gridCol w:w="409"/>
        <w:gridCol w:w="410"/>
        <w:gridCol w:w="409"/>
        <w:gridCol w:w="410"/>
        <w:gridCol w:w="396"/>
        <w:gridCol w:w="792"/>
        <w:gridCol w:w="783"/>
        <w:gridCol w:w="693"/>
        <w:gridCol w:w="117"/>
        <w:gridCol w:w="783"/>
        <w:gridCol w:w="540"/>
        <w:gridCol w:w="774"/>
        <w:gridCol w:w="495"/>
      </w:tblGrid>
      <w:tr w:rsidR="004D26EA" w:rsidRPr="00DD289B" w:rsidTr="004D26EA">
        <w:trPr>
          <w:trHeight w:val="20"/>
          <w:tblHeader/>
        </w:trPr>
        <w:tc>
          <w:tcPr>
            <w:tcW w:w="1233" w:type="dxa"/>
            <w:vMerge w:val="restart"/>
            <w:tcBorders>
              <w:top w:val="single" w:sz="4" w:space="0" w:color="auto"/>
            </w:tcBorders>
            <w:shd w:val="clear" w:color="auto" w:fill="auto"/>
            <w:vAlign w:val="bottom"/>
          </w:tcPr>
          <w:p w:rsidR="004D26EA" w:rsidRPr="000919BC" w:rsidRDefault="004D26EA" w:rsidP="004D26EA">
            <w:pPr>
              <w:keepNext/>
              <w:keepLines/>
              <w:spacing w:before="81" w:after="81" w:line="160" w:lineRule="exact"/>
              <w:ind w:right="40"/>
              <w:rPr>
                <w:i/>
                <w:sz w:val="14"/>
              </w:rPr>
            </w:pPr>
          </w:p>
        </w:tc>
        <w:tc>
          <w:tcPr>
            <w:tcW w:w="3231" w:type="dxa"/>
            <w:gridSpan w:val="8"/>
            <w:tcBorders>
              <w:top w:val="single" w:sz="4" w:space="0" w:color="auto"/>
              <w:bottom w:val="single" w:sz="4" w:space="0" w:color="auto"/>
            </w:tcBorders>
            <w:shd w:val="clear" w:color="auto" w:fill="auto"/>
            <w:vAlign w:val="bottom"/>
            <w:hideMark/>
          </w:tcPr>
          <w:p w:rsidR="004D26EA" w:rsidRPr="000919BC" w:rsidRDefault="004D26EA" w:rsidP="004D26EA">
            <w:pPr>
              <w:keepNext/>
              <w:keepLines/>
              <w:spacing w:before="81" w:after="81" w:line="160" w:lineRule="exact"/>
              <w:ind w:right="43"/>
              <w:jc w:val="center"/>
              <w:rPr>
                <w:i/>
                <w:sz w:val="14"/>
                <w:szCs w:val="14"/>
              </w:rPr>
            </w:pPr>
            <w:r w:rsidRPr="000919BC">
              <w:rPr>
                <w:i/>
                <w:sz w:val="14"/>
                <w:szCs w:val="14"/>
              </w:rPr>
              <w:t>Cuadro Orgánico y categorías superiores</w:t>
            </w:r>
          </w:p>
        </w:tc>
        <w:tc>
          <w:tcPr>
            <w:tcW w:w="396" w:type="dxa"/>
            <w:vMerge w:val="restart"/>
            <w:tcBorders>
              <w:top w:val="single" w:sz="4" w:space="0" w:color="auto"/>
            </w:tcBorders>
            <w:shd w:val="clear" w:color="auto" w:fill="auto"/>
            <w:vAlign w:val="bottom"/>
            <w:hideMark/>
          </w:tcPr>
          <w:p w:rsidR="004D26EA" w:rsidRPr="00C1074D" w:rsidRDefault="004D26EA" w:rsidP="004D26EA">
            <w:pPr>
              <w:keepNext/>
              <w:keepLines/>
              <w:spacing w:before="81" w:after="81" w:line="160" w:lineRule="exact"/>
              <w:ind w:right="43"/>
              <w:jc w:val="right"/>
              <w:rPr>
                <w:b/>
                <w:iCs/>
                <w:sz w:val="14"/>
                <w:szCs w:val="14"/>
              </w:rPr>
            </w:pPr>
            <w:r w:rsidRPr="00C1074D">
              <w:rPr>
                <w:b/>
                <w:iCs/>
                <w:sz w:val="14"/>
                <w:szCs w:val="14"/>
              </w:rPr>
              <w:t>Sub</w:t>
            </w:r>
            <w:r>
              <w:rPr>
                <w:b/>
                <w:iCs/>
                <w:sz w:val="14"/>
                <w:szCs w:val="14"/>
              </w:rPr>
              <w:t>-</w:t>
            </w:r>
            <w:r w:rsidRPr="00C1074D">
              <w:rPr>
                <w:b/>
                <w:iCs/>
                <w:sz w:val="14"/>
                <w:szCs w:val="14"/>
              </w:rPr>
              <w:t>total</w:t>
            </w:r>
          </w:p>
        </w:tc>
        <w:tc>
          <w:tcPr>
            <w:tcW w:w="1575" w:type="dxa"/>
            <w:gridSpan w:val="2"/>
            <w:tcBorders>
              <w:top w:val="single" w:sz="4" w:space="0" w:color="auto"/>
              <w:bottom w:val="single" w:sz="4" w:space="0" w:color="auto"/>
            </w:tcBorders>
            <w:shd w:val="clear" w:color="auto" w:fill="auto"/>
            <w:vAlign w:val="bottom"/>
            <w:hideMark/>
          </w:tcPr>
          <w:p w:rsidR="004D26EA" w:rsidRPr="000919BC" w:rsidRDefault="004D26EA" w:rsidP="004D26EA">
            <w:pPr>
              <w:keepNext/>
              <w:keepLines/>
              <w:spacing w:before="81" w:after="81" w:line="160" w:lineRule="exact"/>
              <w:ind w:right="43"/>
              <w:jc w:val="center"/>
              <w:rPr>
                <w:i/>
                <w:sz w:val="14"/>
                <w:szCs w:val="14"/>
              </w:rPr>
            </w:pPr>
            <w:r w:rsidRPr="000919BC">
              <w:rPr>
                <w:i/>
                <w:sz w:val="14"/>
                <w:szCs w:val="14"/>
              </w:rPr>
              <w:t>Cuadro de Servicios Generales y cuadros conexos</w:t>
            </w:r>
          </w:p>
        </w:tc>
        <w:tc>
          <w:tcPr>
            <w:tcW w:w="693" w:type="dxa"/>
            <w:vMerge w:val="restart"/>
            <w:tcBorders>
              <w:top w:val="single" w:sz="4" w:space="0" w:color="auto"/>
            </w:tcBorders>
            <w:shd w:val="clear" w:color="auto" w:fill="auto"/>
            <w:vAlign w:val="bottom"/>
          </w:tcPr>
          <w:p w:rsidR="004D26EA" w:rsidRPr="00C1074D" w:rsidRDefault="004D26EA" w:rsidP="004D26EA">
            <w:pPr>
              <w:keepNext/>
              <w:keepLines/>
              <w:spacing w:before="81" w:after="81" w:line="160" w:lineRule="exact"/>
              <w:ind w:right="43"/>
              <w:jc w:val="right"/>
              <w:rPr>
                <w:b/>
                <w:iCs/>
                <w:sz w:val="14"/>
                <w:szCs w:val="14"/>
              </w:rPr>
            </w:pPr>
            <w:r w:rsidRPr="00C1074D">
              <w:rPr>
                <w:b/>
                <w:iCs/>
                <w:sz w:val="14"/>
                <w:szCs w:val="14"/>
              </w:rPr>
              <w:t>Subtotal de personal interna-cional</w:t>
            </w:r>
          </w:p>
        </w:tc>
        <w:tc>
          <w:tcPr>
            <w:tcW w:w="117" w:type="dxa"/>
            <w:tcBorders>
              <w:top w:val="single" w:sz="4" w:space="0" w:color="auto"/>
            </w:tcBorders>
            <w:shd w:val="clear" w:color="auto" w:fill="auto"/>
            <w:vAlign w:val="bottom"/>
            <w:hideMark/>
          </w:tcPr>
          <w:p w:rsidR="004D26EA" w:rsidRPr="000919BC" w:rsidRDefault="004D26EA" w:rsidP="004D26EA">
            <w:pPr>
              <w:keepNext/>
              <w:keepLines/>
              <w:spacing w:before="81" w:after="81" w:line="160" w:lineRule="exact"/>
              <w:ind w:right="43"/>
              <w:jc w:val="right"/>
              <w:rPr>
                <w:i/>
                <w:sz w:val="14"/>
                <w:szCs w:val="14"/>
              </w:rPr>
            </w:pPr>
          </w:p>
        </w:tc>
        <w:tc>
          <w:tcPr>
            <w:tcW w:w="1323" w:type="dxa"/>
            <w:gridSpan w:val="2"/>
            <w:tcBorders>
              <w:top w:val="single" w:sz="4" w:space="0" w:color="auto"/>
              <w:bottom w:val="single" w:sz="4" w:space="0" w:color="auto"/>
            </w:tcBorders>
            <w:shd w:val="clear" w:color="auto" w:fill="auto"/>
            <w:vAlign w:val="bottom"/>
          </w:tcPr>
          <w:p w:rsidR="004D26EA" w:rsidRPr="000919BC" w:rsidRDefault="004D26EA" w:rsidP="004D26EA">
            <w:pPr>
              <w:keepNext/>
              <w:keepLines/>
              <w:spacing w:before="81" w:after="81" w:line="160" w:lineRule="exact"/>
              <w:ind w:right="43"/>
              <w:jc w:val="center"/>
              <w:rPr>
                <w:i/>
                <w:sz w:val="14"/>
                <w:szCs w:val="14"/>
              </w:rPr>
            </w:pPr>
            <w:r w:rsidRPr="000919BC">
              <w:rPr>
                <w:i/>
                <w:sz w:val="14"/>
                <w:szCs w:val="14"/>
              </w:rPr>
              <w:t>Personal nacional</w:t>
            </w:r>
          </w:p>
        </w:tc>
        <w:tc>
          <w:tcPr>
            <w:tcW w:w="774" w:type="dxa"/>
            <w:vMerge w:val="restart"/>
            <w:tcBorders>
              <w:top w:val="single" w:sz="4" w:space="0" w:color="auto"/>
            </w:tcBorders>
            <w:shd w:val="clear" w:color="auto" w:fill="auto"/>
            <w:vAlign w:val="bottom"/>
            <w:hideMark/>
          </w:tcPr>
          <w:p w:rsidR="004D26EA" w:rsidRPr="000919BC" w:rsidRDefault="004D26EA" w:rsidP="004D26EA">
            <w:pPr>
              <w:keepNext/>
              <w:keepLines/>
              <w:spacing w:before="81" w:after="81" w:line="160" w:lineRule="exact"/>
              <w:ind w:right="43"/>
              <w:jc w:val="right"/>
              <w:rPr>
                <w:i/>
                <w:sz w:val="14"/>
                <w:szCs w:val="14"/>
              </w:rPr>
            </w:pPr>
            <w:r w:rsidRPr="000919BC">
              <w:rPr>
                <w:i/>
                <w:sz w:val="14"/>
                <w:szCs w:val="14"/>
              </w:rPr>
              <w:t>Voluntarios de las Naciones Unidas</w:t>
            </w:r>
          </w:p>
        </w:tc>
        <w:tc>
          <w:tcPr>
            <w:tcW w:w="495" w:type="dxa"/>
            <w:vMerge w:val="restart"/>
            <w:tcBorders>
              <w:top w:val="single" w:sz="4" w:space="0" w:color="auto"/>
            </w:tcBorders>
            <w:shd w:val="clear" w:color="auto" w:fill="auto"/>
            <w:vAlign w:val="bottom"/>
            <w:hideMark/>
          </w:tcPr>
          <w:p w:rsidR="004D26EA" w:rsidRPr="00DD289B" w:rsidRDefault="004D26EA" w:rsidP="004D26EA">
            <w:pPr>
              <w:keepNext/>
              <w:keepLines/>
              <w:spacing w:before="81" w:after="81" w:line="160" w:lineRule="exact"/>
              <w:ind w:right="43"/>
              <w:jc w:val="right"/>
              <w:rPr>
                <w:b/>
                <w:sz w:val="14"/>
                <w:szCs w:val="14"/>
              </w:rPr>
            </w:pPr>
            <w:r w:rsidRPr="00DD289B">
              <w:rPr>
                <w:b/>
                <w:sz w:val="14"/>
                <w:szCs w:val="14"/>
              </w:rPr>
              <w:t>Total</w:t>
            </w:r>
          </w:p>
        </w:tc>
      </w:tr>
      <w:tr w:rsidR="004D26EA" w:rsidRPr="00DD289B" w:rsidTr="004D26EA">
        <w:trPr>
          <w:trHeight w:val="20"/>
          <w:tblHeader/>
        </w:trPr>
        <w:tc>
          <w:tcPr>
            <w:tcW w:w="1233" w:type="dxa"/>
            <w:vMerge/>
            <w:tcBorders>
              <w:bottom w:val="single" w:sz="12" w:space="0" w:color="auto"/>
            </w:tcBorders>
            <w:shd w:val="clear" w:color="auto" w:fill="auto"/>
            <w:vAlign w:val="bottom"/>
            <w:hideMark/>
          </w:tcPr>
          <w:p w:rsidR="004D26EA" w:rsidRPr="000919BC" w:rsidRDefault="004D26EA" w:rsidP="004D26EA">
            <w:pPr>
              <w:keepNext/>
              <w:keepLines/>
              <w:spacing w:before="81" w:after="81" w:line="160" w:lineRule="exact"/>
              <w:ind w:right="40"/>
              <w:rPr>
                <w:i/>
                <w:sz w:val="14"/>
              </w:rPr>
            </w:pPr>
          </w:p>
        </w:tc>
        <w:tc>
          <w:tcPr>
            <w:tcW w:w="364" w:type="dxa"/>
            <w:tcBorders>
              <w:top w:val="single" w:sz="4" w:space="0" w:color="auto"/>
              <w:bottom w:val="single" w:sz="12" w:space="0" w:color="auto"/>
            </w:tcBorders>
            <w:shd w:val="clear" w:color="auto" w:fill="auto"/>
            <w:vAlign w:val="bottom"/>
            <w:hideMark/>
          </w:tcPr>
          <w:p w:rsidR="004D26EA" w:rsidRPr="000919BC" w:rsidRDefault="004D26EA" w:rsidP="004D26EA">
            <w:pPr>
              <w:keepNext/>
              <w:keepLines/>
              <w:spacing w:before="81" w:after="81" w:line="160" w:lineRule="exact"/>
              <w:ind w:right="43"/>
              <w:jc w:val="right"/>
              <w:rPr>
                <w:i/>
                <w:sz w:val="14"/>
                <w:szCs w:val="14"/>
              </w:rPr>
            </w:pPr>
            <w:r w:rsidRPr="000919BC">
              <w:rPr>
                <w:i/>
                <w:sz w:val="14"/>
                <w:szCs w:val="14"/>
              </w:rPr>
              <w:t>SGA</w:t>
            </w:r>
          </w:p>
        </w:tc>
        <w:tc>
          <w:tcPr>
            <w:tcW w:w="410" w:type="dxa"/>
            <w:tcBorders>
              <w:top w:val="single" w:sz="4" w:space="0" w:color="auto"/>
              <w:bottom w:val="single" w:sz="12" w:space="0" w:color="auto"/>
            </w:tcBorders>
            <w:shd w:val="clear" w:color="auto" w:fill="auto"/>
            <w:vAlign w:val="bottom"/>
            <w:hideMark/>
          </w:tcPr>
          <w:p w:rsidR="004D26EA" w:rsidRPr="000919BC" w:rsidRDefault="004D26EA" w:rsidP="004D26EA">
            <w:pPr>
              <w:keepNext/>
              <w:keepLines/>
              <w:spacing w:before="81" w:after="81" w:line="160" w:lineRule="exact"/>
              <w:ind w:right="43"/>
              <w:jc w:val="right"/>
              <w:rPr>
                <w:i/>
                <w:sz w:val="14"/>
                <w:szCs w:val="14"/>
              </w:rPr>
            </w:pPr>
            <w:r w:rsidRPr="000919BC">
              <w:rPr>
                <w:i/>
                <w:sz w:val="14"/>
                <w:szCs w:val="14"/>
              </w:rPr>
              <w:t>SSG</w:t>
            </w:r>
          </w:p>
        </w:tc>
        <w:tc>
          <w:tcPr>
            <w:tcW w:w="409" w:type="dxa"/>
            <w:tcBorders>
              <w:top w:val="single" w:sz="4" w:space="0" w:color="auto"/>
              <w:bottom w:val="single" w:sz="12" w:space="0" w:color="auto"/>
            </w:tcBorders>
            <w:shd w:val="clear" w:color="auto" w:fill="auto"/>
            <w:vAlign w:val="bottom"/>
            <w:hideMark/>
          </w:tcPr>
          <w:p w:rsidR="004D26EA" w:rsidRPr="000919BC" w:rsidRDefault="004D26EA" w:rsidP="004D26EA">
            <w:pPr>
              <w:keepNext/>
              <w:keepLines/>
              <w:spacing w:before="81" w:after="81" w:line="160" w:lineRule="exact"/>
              <w:ind w:right="43"/>
              <w:jc w:val="right"/>
              <w:rPr>
                <w:i/>
                <w:sz w:val="14"/>
                <w:szCs w:val="14"/>
              </w:rPr>
            </w:pPr>
            <w:r w:rsidRPr="000919BC">
              <w:rPr>
                <w:i/>
                <w:sz w:val="14"/>
                <w:szCs w:val="14"/>
              </w:rPr>
              <w:t>D-2</w:t>
            </w:r>
          </w:p>
        </w:tc>
        <w:tc>
          <w:tcPr>
            <w:tcW w:w="410" w:type="dxa"/>
            <w:tcBorders>
              <w:top w:val="single" w:sz="4" w:space="0" w:color="auto"/>
              <w:bottom w:val="single" w:sz="12" w:space="0" w:color="auto"/>
            </w:tcBorders>
            <w:shd w:val="clear" w:color="auto" w:fill="auto"/>
            <w:vAlign w:val="bottom"/>
            <w:hideMark/>
          </w:tcPr>
          <w:p w:rsidR="004D26EA" w:rsidRPr="000919BC" w:rsidRDefault="004D26EA" w:rsidP="004D26EA">
            <w:pPr>
              <w:keepNext/>
              <w:keepLines/>
              <w:spacing w:before="81" w:after="81" w:line="160" w:lineRule="exact"/>
              <w:ind w:right="43"/>
              <w:jc w:val="right"/>
              <w:rPr>
                <w:i/>
                <w:sz w:val="14"/>
                <w:szCs w:val="14"/>
              </w:rPr>
            </w:pPr>
            <w:r w:rsidRPr="000919BC">
              <w:rPr>
                <w:i/>
                <w:sz w:val="14"/>
                <w:szCs w:val="14"/>
              </w:rPr>
              <w:t>D-1</w:t>
            </w:r>
          </w:p>
        </w:tc>
        <w:tc>
          <w:tcPr>
            <w:tcW w:w="409" w:type="dxa"/>
            <w:tcBorders>
              <w:top w:val="single" w:sz="4" w:space="0" w:color="auto"/>
              <w:bottom w:val="single" w:sz="12" w:space="0" w:color="auto"/>
            </w:tcBorders>
            <w:shd w:val="clear" w:color="auto" w:fill="auto"/>
            <w:vAlign w:val="bottom"/>
            <w:hideMark/>
          </w:tcPr>
          <w:p w:rsidR="004D26EA" w:rsidRPr="000919BC" w:rsidRDefault="004D26EA" w:rsidP="004D26EA">
            <w:pPr>
              <w:keepNext/>
              <w:keepLines/>
              <w:spacing w:before="81" w:after="81" w:line="160" w:lineRule="exact"/>
              <w:ind w:right="43"/>
              <w:jc w:val="right"/>
              <w:rPr>
                <w:i/>
                <w:sz w:val="14"/>
                <w:szCs w:val="14"/>
              </w:rPr>
            </w:pPr>
            <w:r w:rsidRPr="000919BC">
              <w:rPr>
                <w:i/>
                <w:sz w:val="14"/>
                <w:szCs w:val="14"/>
              </w:rPr>
              <w:t>P-5</w:t>
            </w:r>
          </w:p>
        </w:tc>
        <w:tc>
          <w:tcPr>
            <w:tcW w:w="410" w:type="dxa"/>
            <w:tcBorders>
              <w:top w:val="single" w:sz="4" w:space="0" w:color="auto"/>
              <w:bottom w:val="single" w:sz="12" w:space="0" w:color="auto"/>
            </w:tcBorders>
            <w:shd w:val="clear" w:color="auto" w:fill="auto"/>
            <w:vAlign w:val="bottom"/>
            <w:hideMark/>
          </w:tcPr>
          <w:p w:rsidR="004D26EA" w:rsidRPr="000919BC" w:rsidRDefault="004D26EA" w:rsidP="004D26EA">
            <w:pPr>
              <w:keepNext/>
              <w:keepLines/>
              <w:spacing w:before="81" w:after="81" w:line="160" w:lineRule="exact"/>
              <w:ind w:right="43"/>
              <w:jc w:val="right"/>
              <w:rPr>
                <w:i/>
                <w:sz w:val="14"/>
                <w:szCs w:val="14"/>
              </w:rPr>
            </w:pPr>
            <w:r w:rsidRPr="000919BC">
              <w:rPr>
                <w:i/>
                <w:sz w:val="14"/>
                <w:szCs w:val="14"/>
              </w:rPr>
              <w:t>P-4</w:t>
            </w:r>
          </w:p>
        </w:tc>
        <w:tc>
          <w:tcPr>
            <w:tcW w:w="409" w:type="dxa"/>
            <w:tcBorders>
              <w:top w:val="single" w:sz="4" w:space="0" w:color="auto"/>
              <w:bottom w:val="single" w:sz="12" w:space="0" w:color="auto"/>
            </w:tcBorders>
            <w:shd w:val="clear" w:color="auto" w:fill="auto"/>
            <w:vAlign w:val="bottom"/>
            <w:hideMark/>
          </w:tcPr>
          <w:p w:rsidR="004D26EA" w:rsidRPr="000919BC" w:rsidRDefault="004D26EA" w:rsidP="004D26EA">
            <w:pPr>
              <w:keepNext/>
              <w:keepLines/>
              <w:spacing w:before="81" w:after="81" w:line="160" w:lineRule="exact"/>
              <w:ind w:right="43"/>
              <w:jc w:val="right"/>
              <w:rPr>
                <w:i/>
                <w:sz w:val="14"/>
                <w:szCs w:val="14"/>
              </w:rPr>
            </w:pPr>
            <w:r w:rsidRPr="000919BC">
              <w:rPr>
                <w:i/>
                <w:sz w:val="14"/>
                <w:szCs w:val="14"/>
              </w:rPr>
              <w:t>P-3</w:t>
            </w:r>
          </w:p>
        </w:tc>
        <w:tc>
          <w:tcPr>
            <w:tcW w:w="410" w:type="dxa"/>
            <w:tcBorders>
              <w:top w:val="single" w:sz="4" w:space="0" w:color="auto"/>
              <w:bottom w:val="single" w:sz="12" w:space="0" w:color="auto"/>
            </w:tcBorders>
            <w:shd w:val="clear" w:color="auto" w:fill="auto"/>
            <w:vAlign w:val="bottom"/>
            <w:hideMark/>
          </w:tcPr>
          <w:p w:rsidR="004D26EA" w:rsidRPr="000919BC" w:rsidRDefault="004D26EA" w:rsidP="004D26EA">
            <w:pPr>
              <w:keepNext/>
              <w:keepLines/>
              <w:spacing w:before="81" w:after="81" w:line="160" w:lineRule="exact"/>
              <w:ind w:right="43"/>
              <w:jc w:val="right"/>
              <w:rPr>
                <w:i/>
                <w:sz w:val="14"/>
                <w:szCs w:val="14"/>
              </w:rPr>
            </w:pPr>
            <w:r w:rsidRPr="000919BC">
              <w:rPr>
                <w:i/>
                <w:sz w:val="14"/>
                <w:szCs w:val="14"/>
              </w:rPr>
              <w:t>P-2</w:t>
            </w:r>
          </w:p>
        </w:tc>
        <w:tc>
          <w:tcPr>
            <w:tcW w:w="396" w:type="dxa"/>
            <w:vMerge/>
            <w:tcBorders>
              <w:bottom w:val="single" w:sz="12" w:space="0" w:color="auto"/>
            </w:tcBorders>
            <w:shd w:val="clear" w:color="auto" w:fill="auto"/>
            <w:vAlign w:val="bottom"/>
            <w:hideMark/>
          </w:tcPr>
          <w:p w:rsidR="004D26EA" w:rsidRPr="000919BC" w:rsidRDefault="004D26EA" w:rsidP="004D26EA">
            <w:pPr>
              <w:keepNext/>
              <w:keepLines/>
              <w:spacing w:before="81" w:after="81" w:line="160" w:lineRule="exact"/>
              <w:ind w:right="43"/>
              <w:jc w:val="right"/>
              <w:rPr>
                <w:b/>
                <w:i/>
                <w:sz w:val="14"/>
                <w:szCs w:val="14"/>
              </w:rPr>
            </w:pPr>
          </w:p>
        </w:tc>
        <w:tc>
          <w:tcPr>
            <w:tcW w:w="792" w:type="dxa"/>
            <w:tcBorders>
              <w:top w:val="single" w:sz="4" w:space="0" w:color="auto"/>
              <w:bottom w:val="single" w:sz="12" w:space="0" w:color="auto"/>
            </w:tcBorders>
            <w:shd w:val="clear" w:color="auto" w:fill="auto"/>
            <w:vAlign w:val="bottom"/>
            <w:hideMark/>
          </w:tcPr>
          <w:p w:rsidR="004D26EA" w:rsidRPr="000919BC" w:rsidRDefault="004D26EA" w:rsidP="004D26EA">
            <w:pPr>
              <w:keepNext/>
              <w:keepLines/>
              <w:spacing w:before="81" w:line="160" w:lineRule="exact"/>
              <w:ind w:right="43"/>
              <w:jc w:val="right"/>
              <w:rPr>
                <w:i/>
                <w:sz w:val="14"/>
                <w:szCs w:val="14"/>
              </w:rPr>
            </w:pPr>
            <w:r w:rsidRPr="000919BC">
              <w:rPr>
                <w:i/>
                <w:sz w:val="14"/>
                <w:szCs w:val="14"/>
              </w:rPr>
              <w:t>Servicio Móvil/</w:t>
            </w:r>
          </w:p>
          <w:p w:rsidR="004D26EA" w:rsidRPr="000919BC" w:rsidRDefault="004D26EA" w:rsidP="004D26EA">
            <w:pPr>
              <w:keepNext/>
              <w:keepLines/>
              <w:spacing w:after="81" w:line="160" w:lineRule="exact"/>
              <w:ind w:right="43"/>
              <w:jc w:val="right"/>
              <w:rPr>
                <w:i/>
                <w:sz w:val="14"/>
                <w:szCs w:val="14"/>
              </w:rPr>
            </w:pPr>
            <w:r w:rsidRPr="000919BC">
              <w:rPr>
                <w:i/>
                <w:sz w:val="14"/>
                <w:szCs w:val="14"/>
              </w:rPr>
              <w:t>Servicio de Seguridad</w:t>
            </w:r>
          </w:p>
        </w:tc>
        <w:tc>
          <w:tcPr>
            <w:tcW w:w="783" w:type="dxa"/>
            <w:tcBorders>
              <w:top w:val="single" w:sz="4" w:space="0" w:color="auto"/>
              <w:bottom w:val="single" w:sz="12" w:space="0" w:color="auto"/>
            </w:tcBorders>
            <w:shd w:val="clear" w:color="auto" w:fill="auto"/>
            <w:vAlign w:val="bottom"/>
            <w:hideMark/>
          </w:tcPr>
          <w:p w:rsidR="004D26EA" w:rsidRPr="000919BC" w:rsidRDefault="004D26EA" w:rsidP="004D26EA">
            <w:pPr>
              <w:keepNext/>
              <w:keepLines/>
              <w:spacing w:before="81" w:after="81" w:line="160" w:lineRule="exact"/>
              <w:ind w:right="43"/>
              <w:jc w:val="right"/>
              <w:rPr>
                <w:i/>
                <w:sz w:val="14"/>
                <w:szCs w:val="14"/>
              </w:rPr>
            </w:pPr>
            <w:r w:rsidRPr="000919BC">
              <w:rPr>
                <w:i/>
                <w:sz w:val="14"/>
                <w:szCs w:val="14"/>
              </w:rPr>
              <w:t>Cuadro de Servicios Generales (otras categorías)</w:t>
            </w:r>
          </w:p>
        </w:tc>
        <w:tc>
          <w:tcPr>
            <w:tcW w:w="693" w:type="dxa"/>
            <w:vMerge/>
            <w:tcBorders>
              <w:bottom w:val="single" w:sz="12" w:space="0" w:color="auto"/>
            </w:tcBorders>
            <w:shd w:val="clear" w:color="auto" w:fill="auto"/>
            <w:vAlign w:val="bottom"/>
            <w:hideMark/>
          </w:tcPr>
          <w:p w:rsidR="004D26EA" w:rsidRPr="000919BC" w:rsidRDefault="004D26EA" w:rsidP="004D26EA">
            <w:pPr>
              <w:keepNext/>
              <w:keepLines/>
              <w:spacing w:before="81" w:after="81" w:line="160" w:lineRule="exact"/>
              <w:ind w:right="43"/>
              <w:jc w:val="right"/>
              <w:rPr>
                <w:b/>
                <w:i/>
                <w:sz w:val="14"/>
                <w:szCs w:val="14"/>
              </w:rPr>
            </w:pPr>
          </w:p>
        </w:tc>
        <w:tc>
          <w:tcPr>
            <w:tcW w:w="900" w:type="dxa"/>
            <w:gridSpan w:val="2"/>
            <w:tcBorders>
              <w:bottom w:val="single" w:sz="12" w:space="0" w:color="auto"/>
            </w:tcBorders>
            <w:shd w:val="clear" w:color="auto" w:fill="auto"/>
            <w:vAlign w:val="bottom"/>
            <w:hideMark/>
          </w:tcPr>
          <w:p w:rsidR="004D26EA" w:rsidRPr="000919BC" w:rsidRDefault="004D26EA" w:rsidP="004D26EA">
            <w:pPr>
              <w:keepNext/>
              <w:keepLines/>
              <w:spacing w:before="81" w:after="81" w:line="160" w:lineRule="exact"/>
              <w:ind w:right="43"/>
              <w:jc w:val="right"/>
              <w:rPr>
                <w:i/>
                <w:sz w:val="14"/>
                <w:szCs w:val="14"/>
              </w:rPr>
            </w:pPr>
            <w:r w:rsidRPr="000919BC">
              <w:rPr>
                <w:i/>
                <w:sz w:val="14"/>
                <w:szCs w:val="14"/>
              </w:rPr>
              <w:t xml:space="preserve">Funcionario nacional </w:t>
            </w:r>
            <w:r w:rsidRPr="000919BC">
              <w:rPr>
                <w:i/>
                <w:sz w:val="14"/>
                <w:szCs w:val="14"/>
              </w:rPr>
              <w:br/>
              <w:t>del Cuadro Orgánico</w:t>
            </w:r>
          </w:p>
        </w:tc>
        <w:tc>
          <w:tcPr>
            <w:tcW w:w="540" w:type="dxa"/>
            <w:tcBorders>
              <w:bottom w:val="single" w:sz="12" w:space="0" w:color="auto"/>
            </w:tcBorders>
            <w:shd w:val="clear" w:color="auto" w:fill="auto"/>
            <w:vAlign w:val="bottom"/>
            <w:hideMark/>
          </w:tcPr>
          <w:p w:rsidR="004D26EA" w:rsidRPr="000919BC" w:rsidRDefault="004D26EA" w:rsidP="004D26EA">
            <w:pPr>
              <w:keepNext/>
              <w:keepLines/>
              <w:spacing w:before="81" w:after="81" w:line="160" w:lineRule="exact"/>
              <w:ind w:right="43"/>
              <w:jc w:val="right"/>
              <w:rPr>
                <w:i/>
                <w:sz w:val="14"/>
                <w:szCs w:val="14"/>
              </w:rPr>
            </w:pPr>
            <w:r w:rsidRPr="000919BC">
              <w:rPr>
                <w:i/>
                <w:sz w:val="14"/>
                <w:szCs w:val="14"/>
              </w:rPr>
              <w:t>Contra-tación local</w:t>
            </w:r>
          </w:p>
        </w:tc>
        <w:tc>
          <w:tcPr>
            <w:tcW w:w="774" w:type="dxa"/>
            <w:vMerge/>
            <w:tcBorders>
              <w:bottom w:val="single" w:sz="12" w:space="0" w:color="auto"/>
            </w:tcBorders>
            <w:shd w:val="clear" w:color="auto" w:fill="auto"/>
            <w:vAlign w:val="bottom"/>
            <w:hideMark/>
          </w:tcPr>
          <w:p w:rsidR="004D26EA" w:rsidRPr="000919BC" w:rsidRDefault="004D26EA" w:rsidP="004D26EA">
            <w:pPr>
              <w:keepNext/>
              <w:keepLines/>
              <w:spacing w:before="81" w:after="81" w:line="160" w:lineRule="exact"/>
              <w:ind w:right="43"/>
              <w:jc w:val="right"/>
              <w:rPr>
                <w:i/>
                <w:sz w:val="14"/>
                <w:szCs w:val="14"/>
              </w:rPr>
            </w:pPr>
          </w:p>
        </w:tc>
        <w:tc>
          <w:tcPr>
            <w:tcW w:w="495" w:type="dxa"/>
            <w:vMerge/>
            <w:tcBorders>
              <w:bottom w:val="single" w:sz="12" w:space="0" w:color="auto"/>
            </w:tcBorders>
            <w:shd w:val="clear" w:color="auto" w:fill="auto"/>
            <w:vAlign w:val="bottom"/>
            <w:hideMark/>
          </w:tcPr>
          <w:p w:rsidR="004D26EA" w:rsidRPr="00DD289B" w:rsidRDefault="004D26EA" w:rsidP="004D26EA">
            <w:pPr>
              <w:keepNext/>
              <w:keepLines/>
              <w:spacing w:before="81" w:after="81" w:line="160" w:lineRule="exact"/>
              <w:ind w:right="43"/>
              <w:jc w:val="right"/>
              <w:rPr>
                <w:b/>
                <w:sz w:val="14"/>
                <w:szCs w:val="14"/>
              </w:rPr>
            </w:pPr>
          </w:p>
        </w:tc>
      </w:tr>
      <w:tr w:rsidR="004D26EA" w:rsidRPr="000919BC" w:rsidTr="004D26EA">
        <w:trPr>
          <w:trHeight w:hRule="exact" w:val="115"/>
          <w:tblHeader/>
        </w:trPr>
        <w:tc>
          <w:tcPr>
            <w:tcW w:w="1233" w:type="dxa"/>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0"/>
              <w:rPr>
                <w:sz w:val="17"/>
              </w:rPr>
            </w:pPr>
          </w:p>
        </w:tc>
        <w:tc>
          <w:tcPr>
            <w:tcW w:w="364" w:type="dxa"/>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3"/>
              <w:jc w:val="right"/>
              <w:rPr>
                <w:sz w:val="17"/>
              </w:rPr>
            </w:pPr>
          </w:p>
        </w:tc>
        <w:tc>
          <w:tcPr>
            <w:tcW w:w="410" w:type="dxa"/>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3"/>
              <w:jc w:val="right"/>
              <w:rPr>
                <w:sz w:val="17"/>
              </w:rPr>
            </w:pPr>
          </w:p>
        </w:tc>
        <w:tc>
          <w:tcPr>
            <w:tcW w:w="409" w:type="dxa"/>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3"/>
              <w:jc w:val="right"/>
              <w:rPr>
                <w:sz w:val="17"/>
              </w:rPr>
            </w:pPr>
          </w:p>
        </w:tc>
        <w:tc>
          <w:tcPr>
            <w:tcW w:w="410" w:type="dxa"/>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3"/>
              <w:jc w:val="right"/>
              <w:rPr>
                <w:sz w:val="17"/>
              </w:rPr>
            </w:pPr>
          </w:p>
        </w:tc>
        <w:tc>
          <w:tcPr>
            <w:tcW w:w="409" w:type="dxa"/>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3"/>
              <w:jc w:val="right"/>
              <w:rPr>
                <w:sz w:val="17"/>
              </w:rPr>
            </w:pPr>
          </w:p>
        </w:tc>
        <w:tc>
          <w:tcPr>
            <w:tcW w:w="410" w:type="dxa"/>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3"/>
              <w:jc w:val="right"/>
              <w:rPr>
                <w:sz w:val="17"/>
              </w:rPr>
            </w:pPr>
          </w:p>
        </w:tc>
        <w:tc>
          <w:tcPr>
            <w:tcW w:w="409" w:type="dxa"/>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3"/>
              <w:jc w:val="right"/>
              <w:rPr>
                <w:sz w:val="17"/>
              </w:rPr>
            </w:pPr>
          </w:p>
        </w:tc>
        <w:tc>
          <w:tcPr>
            <w:tcW w:w="410" w:type="dxa"/>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3"/>
              <w:jc w:val="right"/>
              <w:rPr>
                <w:sz w:val="17"/>
              </w:rPr>
            </w:pPr>
          </w:p>
        </w:tc>
        <w:tc>
          <w:tcPr>
            <w:tcW w:w="396" w:type="dxa"/>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3"/>
              <w:jc w:val="right"/>
              <w:rPr>
                <w:b/>
                <w:sz w:val="17"/>
              </w:rPr>
            </w:pPr>
          </w:p>
        </w:tc>
        <w:tc>
          <w:tcPr>
            <w:tcW w:w="792" w:type="dxa"/>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3"/>
              <w:jc w:val="right"/>
              <w:rPr>
                <w:sz w:val="17"/>
              </w:rPr>
            </w:pPr>
          </w:p>
        </w:tc>
        <w:tc>
          <w:tcPr>
            <w:tcW w:w="783" w:type="dxa"/>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3"/>
              <w:jc w:val="right"/>
              <w:rPr>
                <w:sz w:val="17"/>
              </w:rPr>
            </w:pPr>
          </w:p>
        </w:tc>
        <w:tc>
          <w:tcPr>
            <w:tcW w:w="693" w:type="dxa"/>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3"/>
              <w:jc w:val="right"/>
              <w:rPr>
                <w:b/>
                <w:sz w:val="17"/>
              </w:rPr>
            </w:pPr>
          </w:p>
        </w:tc>
        <w:tc>
          <w:tcPr>
            <w:tcW w:w="900" w:type="dxa"/>
            <w:gridSpan w:val="2"/>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3"/>
              <w:jc w:val="right"/>
              <w:rPr>
                <w:sz w:val="17"/>
              </w:rPr>
            </w:pPr>
          </w:p>
        </w:tc>
        <w:tc>
          <w:tcPr>
            <w:tcW w:w="540" w:type="dxa"/>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3"/>
              <w:jc w:val="right"/>
              <w:rPr>
                <w:sz w:val="17"/>
              </w:rPr>
            </w:pPr>
          </w:p>
        </w:tc>
        <w:tc>
          <w:tcPr>
            <w:tcW w:w="774" w:type="dxa"/>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3"/>
              <w:jc w:val="right"/>
              <w:rPr>
                <w:sz w:val="17"/>
              </w:rPr>
            </w:pPr>
          </w:p>
        </w:tc>
        <w:tc>
          <w:tcPr>
            <w:tcW w:w="495" w:type="dxa"/>
            <w:tcBorders>
              <w:top w:val="single" w:sz="12" w:space="0" w:color="auto"/>
            </w:tcBorders>
            <w:shd w:val="clear" w:color="auto" w:fill="auto"/>
            <w:vAlign w:val="bottom"/>
          </w:tcPr>
          <w:p w:rsidR="004D26EA" w:rsidRPr="000919BC" w:rsidRDefault="004D26EA" w:rsidP="004D26EA">
            <w:pPr>
              <w:keepNext/>
              <w:keepLines/>
              <w:spacing w:before="40" w:after="40" w:line="210" w:lineRule="exact"/>
              <w:ind w:right="43"/>
              <w:jc w:val="right"/>
              <w:rPr>
                <w:b/>
                <w:sz w:val="17"/>
              </w:rPr>
            </w:pPr>
          </w:p>
        </w:tc>
      </w:tr>
      <w:tr w:rsidR="004D26EA" w:rsidRPr="000919BC" w:rsidTr="004D26EA">
        <w:trPr>
          <w:trHeight w:val="20"/>
          <w:tblHeader/>
        </w:trPr>
        <w:tc>
          <w:tcPr>
            <w:tcW w:w="1233" w:type="dxa"/>
            <w:shd w:val="clear" w:color="auto" w:fill="auto"/>
            <w:vAlign w:val="bottom"/>
            <w:hideMark/>
          </w:tcPr>
          <w:p w:rsidR="004D26EA" w:rsidRPr="000919BC" w:rsidRDefault="004D26EA" w:rsidP="004D26EA">
            <w:pPr>
              <w:keepNext/>
              <w:keepLines/>
              <w:spacing w:before="40" w:after="40" w:line="210" w:lineRule="exact"/>
              <w:rPr>
                <w:rFonts w:asciiTheme="majorBidi" w:hAnsiTheme="majorBidi" w:cstheme="majorBidi"/>
                <w:sz w:val="17"/>
                <w:szCs w:val="17"/>
              </w:rPr>
            </w:pPr>
            <w:r w:rsidRPr="000919BC">
              <w:rPr>
                <w:rFonts w:asciiTheme="majorBidi" w:hAnsiTheme="majorBidi" w:cstheme="majorBidi"/>
                <w:sz w:val="17"/>
                <w:szCs w:val="17"/>
              </w:rPr>
              <w:t>Aprobadas 2016</w:t>
            </w:r>
          </w:p>
        </w:tc>
        <w:tc>
          <w:tcPr>
            <w:tcW w:w="364" w:type="dxa"/>
            <w:shd w:val="clear" w:color="auto" w:fill="auto"/>
            <w:vAlign w:val="bottom"/>
            <w:hideMark/>
          </w:tcPr>
          <w:p w:rsidR="004D26EA" w:rsidRPr="000919BC" w:rsidRDefault="004D26EA" w:rsidP="004D26EA">
            <w:pPr>
              <w:keepNext/>
              <w:keepLines/>
              <w:spacing w:before="40" w:after="40"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1</w:t>
            </w:r>
          </w:p>
        </w:tc>
        <w:tc>
          <w:tcPr>
            <w:tcW w:w="410" w:type="dxa"/>
            <w:shd w:val="clear" w:color="auto" w:fill="auto"/>
            <w:vAlign w:val="bottom"/>
            <w:hideMark/>
          </w:tcPr>
          <w:p w:rsidR="004D26EA" w:rsidRPr="000919BC" w:rsidRDefault="004D26EA" w:rsidP="004D26EA">
            <w:pPr>
              <w:keepNext/>
              <w:keepLines/>
              <w:spacing w:before="40" w:after="40"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w:t>
            </w:r>
          </w:p>
        </w:tc>
        <w:tc>
          <w:tcPr>
            <w:tcW w:w="409" w:type="dxa"/>
            <w:shd w:val="clear" w:color="auto" w:fill="auto"/>
            <w:vAlign w:val="bottom"/>
            <w:hideMark/>
          </w:tcPr>
          <w:p w:rsidR="004D26EA" w:rsidRPr="000919BC" w:rsidRDefault="004D26EA" w:rsidP="004D26EA">
            <w:pPr>
              <w:keepNext/>
              <w:keepLines/>
              <w:spacing w:before="40" w:after="40"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1</w:t>
            </w:r>
          </w:p>
        </w:tc>
        <w:tc>
          <w:tcPr>
            <w:tcW w:w="410" w:type="dxa"/>
            <w:shd w:val="clear" w:color="auto" w:fill="auto"/>
            <w:vAlign w:val="bottom"/>
            <w:hideMark/>
          </w:tcPr>
          <w:p w:rsidR="004D26EA" w:rsidRPr="000919BC" w:rsidRDefault="004D26EA" w:rsidP="004D26EA">
            <w:pPr>
              <w:keepNext/>
              <w:keepLines/>
              <w:spacing w:before="40" w:after="40"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2</w:t>
            </w:r>
          </w:p>
        </w:tc>
        <w:tc>
          <w:tcPr>
            <w:tcW w:w="409" w:type="dxa"/>
            <w:shd w:val="clear" w:color="auto" w:fill="auto"/>
            <w:vAlign w:val="bottom"/>
            <w:hideMark/>
          </w:tcPr>
          <w:p w:rsidR="004D26EA" w:rsidRPr="000919BC" w:rsidRDefault="004D26EA" w:rsidP="004D26EA">
            <w:pPr>
              <w:keepNext/>
              <w:keepLines/>
              <w:spacing w:before="40" w:after="40"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6</w:t>
            </w:r>
          </w:p>
        </w:tc>
        <w:tc>
          <w:tcPr>
            <w:tcW w:w="410" w:type="dxa"/>
            <w:shd w:val="clear" w:color="auto" w:fill="auto"/>
            <w:vAlign w:val="bottom"/>
            <w:hideMark/>
          </w:tcPr>
          <w:p w:rsidR="004D26EA" w:rsidRPr="000919BC" w:rsidRDefault="004D26EA" w:rsidP="004D26EA">
            <w:pPr>
              <w:keepNext/>
              <w:keepLines/>
              <w:spacing w:before="40" w:after="40"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6</w:t>
            </w:r>
          </w:p>
        </w:tc>
        <w:tc>
          <w:tcPr>
            <w:tcW w:w="409" w:type="dxa"/>
            <w:shd w:val="clear" w:color="auto" w:fill="auto"/>
            <w:vAlign w:val="bottom"/>
            <w:hideMark/>
          </w:tcPr>
          <w:p w:rsidR="004D26EA" w:rsidRPr="000919BC" w:rsidRDefault="004D26EA" w:rsidP="004D26EA">
            <w:pPr>
              <w:keepNext/>
              <w:keepLines/>
              <w:spacing w:before="40" w:after="40"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2</w:t>
            </w:r>
          </w:p>
        </w:tc>
        <w:tc>
          <w:tcPr>
            <w:tcW w:w="410" w:type="dxa"/>
            <w:shd w:val="clear" w:color="auto" w:fill="auto"/>
            <w:vAlign w:val="bottom"/>
            <w:hideMark/>
          </w:tcPr>
          <w:p w:rsidR="004D26EA" w:rsidRPr="000919BC" w:rsidRDefault="004D26EA" w:rsidP="004D26EA">
            <w:pPr>
              <w:keepNext/>
              <w:keepLines/>
              <w:spacing w:before="40" w:after="40"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w:t>
            </w:r>
          </w:p>
        </w:tc>
        <w:tc>
          <w:tcPr>
            <w:tcW w:w="396" w:type="dxa"/>
            <w:shd w:val="clear" w:color="auto" w:fill="auto"/>
            <w:vAlign w:val="bottom"/>
            <w:hideMark/>
          </w:tcPr>
          <w:p w:rsidR="004D26EA" w:rsidRPr="00C1074D" w:rsidRDefault="004D26EA" w:rsidP="004D26EA">
            <w:pPr>
              <w:keepNext/>
              <w:keepLines/>
              <w:spacing w:before="40" w:after="40" w:line="210" w:lineRule="exact"/>
              <w:ind w:right="43"/>
              <w:jc w:val="right"/>
              <w:rPr>
                <w:rFonts w:asciiTheme="majorBidi" w:hAnsiTheme="majorBidi" w:cstheme="majorBidi"/>
                <w:b/>
                <w:bCs/>
                <w:sz w:val="17"/>
                <w:szCs w:val="17"/>
              </w:rPr>
            </w:pPr>
            <w:r w:rsidRPr="00C1074D">
              <w:rPr>
                <w:rFonts w:asciiTheme="majorBidi" w:hAnsiTheme="majorBidi" w:cstheme="majorBidi"/>
                <w:b/>
                <w:bCs/>
                <w:sz w:val="17"/>
                <w:szCs w:val="17"/>
              </w:rPr>
              <w:t>18</w:t>
            </w:r>
          </w:p>
        </w:tc>
        <w:tc>
          <w:tcPr>
            <w:tcW w:w="792" w:type="dxa"/>
            <w:shd w:val="clear" w:color="auto" w:fill="auto"/>
            <w:vAlign w:val="bottom"/>
            <w:hideMark/>
          </w:tcPr>
          <w:p w:rsidR="004D26EA" w:rsidRPr="000919BC" w:rsidRDefault="004D26EA" w:rsidP="004D26EA">
            <w:pPr>
              <w:keepNext/>
              <w:keepLines/>
              <w:spacing w:before="40" w:after="40"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7</w:t>
            </w:r>
          </w:p>
        </w:tc>
        <w:tc>
          <w:tcPr>
            <w:tcW w:w="783" w:type="dxa"/>
            <w:shd w:val="clear" w:color="auto" w:fill="auto"/>
            <w:vAlign w:val="bottom"/>
            <w:hideMark/>
          </w:tcPr>
          <w:p w:rsidR="004D26EA" w:rsidRPr="000919BC" w:rsidRDefault="004D26EA" w:rsidP="004D26EA">
            <w:pPr>
              <w:keepNext/>
              <w:keepLines/>
              <w:spacing w:before="40" w:after="40"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1</w:t>
            </w:r>
          </w:p>
        </w:tc>
        <w:tc>
          <w:tcPr>
            <w:tcW w:w="693" w:type="dxa"/>
            <w:shd w:val="clear" w:color="auto" w:fill="auto"/>
            <w:vAlign w:val="bottom"/>
            <w:hideMark/>
          </w:tcPr>
          <w:p w:rsidR="004D26EA" w:rsidRPr="00C1074D" w:rsidRDefault="004D26EA" w:rsidP="004D26EA">
            <w:pPr>
              <w:keepNext/>
              <w:keepLines/>
              <w:spacing w:before="40" w:after="40" w:line="210" w:lineRule="exact"/>
              <w:ind w:right="43"/>
              <w:jc w:val="right"/>
              <w:rPr>
                <w:rFonts w:asciiTheme="majorBidi" w:hAnsiTheme="majorBidi" w:cstheme="majorBidi"/>
                <w:b/>
                <w:bCs/>
                <w:sz w:val="17"/>
                <w:szCs w:val="17"/>
              </w:rPr>
            </w:pPr>
            <w:r w:rsidRPr="00C1074D">
              <w:rPr>
                <w:rFonts w:asciiTheme="majorBidi" w:hAnsiTheme="majorBidi" w:cstheme="majorBidi"/>
                <w:b/>
                <w:bCs/>
                <w:sz w:val="17"/>
                <w:szCs w:val="17"/>
              </w:rPr>
              <w:t>26</w:t>
            </w:r>
          </w:p>
        </w:tc>
        <w:tc>
          <w:tcPr>
            <w:tcW w:w="900" w:type="dxa"/>
            <w:gridSpan w:val="2"/>
            <w:shd w:val="clear" w:color="auto" w:fill="auto"/>
            <w:vAlign w:val="bottom"/>
            <w:hideMark/>
          </w:tcPr>
          <w:p w:rsidR="004D26EA" w:rsidRPr="000919BC" w:rsidRDefault="004D26EA" w:rsidP="004D26EA">
            <w:pPr>
              <w:keepNext/>
              <w:keepLines/>
              <w:spacing w:before="40" w:after="40"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2</w:t>
            </w:r>
          </w:p>
        </w:tc>
        <w:tc>
          <w:tcPr>
            <w:tcW w:w="540" w:type="dxa"/>
            <w:shd w:val="clear" w:color="auto" w:fill="auto"/>
            <w:vAlign w:val="bottom"/>
            <w:hideMark/>
          </w:tcPr>
          <w:p w:rsidR="004D26EA" w:rsidRPr="000919BC" w:rsidRDefault="004D26EA" w:rsidP="004D26EA">
            <w:pPr>
              <w:keepNext/>
              <w:keepLines/>
              <w:spacing w:before="40" w:after="40"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5</w:t>
            </w:r>
          </w:p>
        </w:tc>
        <w:tc>
          <w:tcPr>
            <w:tcW w:w="774" w:type="dxa"/>
            <w:shd w:val="clear" w:color="auto" w:fill="auto"/>
            <w:vAlign w:val="bottom"/>
            <w:hideMark/>
          </w:tcPr>
          <w:p w:rsidR="004D26EA" w:rsidRPr="000919BC" w:rsidRDefault="004D26EA" w:rsidP="004D26EA">
            <w:pPr>
              <w:keepNext/>
              <w:keepLines/>
              <w:spacing w:before="40" w:after="40"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w:t>
            </w:r>
          </w:p>
        </w:tc>
        <w:tc>
          <w:tcPr>
            <w:tcW w:w="495" w:type="dxa"/>
            <w:shd w:val="clear" w:color="auto" w:fill="auto"/>
            <w:vAlign w:val="bottom"/>
            <w:hideMark/>
          </w:tcPr>
          <w:p w:rsidR="004D26EA" w:rsidRPr="00C1074D" w:rsidRDefault="004D26EA" w:rsidP="004D26EA">
            <w:pPr>
              <w:keepNext/>
              <w:keepLines/>
              <w:spacing w:before="40" w:after="40" w:line="210" w:lineRule="exact"/>
              <w:ind w:right="43"/>
              <w:jc w:val="right"/>
              <w:rPr>
                <w:rFonts w:asciiTheme="majorBidi" w:hAnsiTheme="majorBidi" w:cstheme="majorBidi"/>
                <w:b/>
                <w:bCs/>
                <w:sz w:val="17"/>
                <w:szCs w:val="17"/>
              </w:rPr>
            </w:pPr>
            <w:r w:rsidRPr="00C1074D">
              <w:rPr>
                <w:rFonts w:asciiTheme="majorBidi" w:hAnsiTheme="majorBidi" w:cstheme="majorBidi"/>
                <w:b/>
                <w:bCs/>
                <w:sz w:val="17"/>
                <w:szCs w:val="17"/>
              </w:rPr>
              <w:t>33</w:t>
            </w:r>
          </w:p>
        </w:tc>
      </w:tr>
      <w:tr w:rsidR="004D26EA" w:rsidRPr="000919BC" w:rsidTr="004D26EA">
        <w:trPr>
          <w:trHeight w:val="20"/>
        </w:trPr>
        <w:tc>
          <w:tcPr>
            <w:tcW w:w="1233" w:type="dxa"/>
            <w:tcBorders>
              <w:bottom w:val="single" w:sz="4"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40" w:after="81" w:line="210" w:lineRule="exact"/>
              <w:rPr>
                <w:rFonts w:asciiTheme="majorBidi" w:hAnsiTheme="majorBidi" w:cstheme="majorBidi"/>
                <w:sz w:val="17"/>
                <w:szCs w:val="17"/>
              </w:rPr>
            </w:pPr>
            <w:r w:rsidRPr="000919BC">
              <w:rPr>
                <w:rFonts w:asciiTheme="majorBidi" w:hAnsiTheme="majorBidi" w:cstheme="majorBidi"/>
                <w:sz w:val="17"/>
                <w:szCs w:val="17"/>
              </w:rPr>
              <w:t>Propuestas 2017</w:t>
            </w:r>
          </w:p>
        </w:tc>
        <w:tc>
          <w:tcPr>
            <w:tcW w:w="364" w:type="dxa"/>
            <w:tcBorders>
              <w:bottom w:val="single" w:sz="4"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40" w:after="81"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1</w:t>
            </w:r>
          </w:p>
        </w:tc>
        <w:tc>
          <w:tcPr>
            <w:tcW w:w="410" w:type="dxa"/>
            <w:tcBorders>
              <w:bottom w:val="single" w:sz="4"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40" w:after="81"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w:t>
            </w:r>
          </w:p>
        </w:tc>
        <w:tc>
          <w:tcPr>
            <w:tcW w:w="409" w:type="dxa"/>
            <w:tcBorders>
              <w:bottom w:val="single" w:sz="4"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40" w:after="81"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1</w:t>
            </w:r>
          </w:p>
        </w:tc>
        <w:tc>
          <w:tcPr>
            <w:tcW w:w="410" w:type="dxa"/>
            <w:tcBorders>
              <w:bottom w:val="single" w:sz="4"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40" w:after="81"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2</w:t>
            </w:r>
          </w:p>
        </w:tc>
        <w:tc>
          <w:tcPr>
            <w:tcW w:w="409" w:type="dxa"/>
            <w:tcBorders>
              <w:bottom w:val="single" w:sz="4"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40" w:after="81"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8</w:t>
            </w:r>
          </w:p>
        </w:tc>
        <w:tc>
          <w:tcPr>
            <w:tcW w:w="410" w:type="dxa"/>
            <w:tcBorders>
              <w:bottom w:val="single" w:sz="4"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40" w:after="81"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13</w:t>
            </w:r>
          </w:p>
        </w:tc>
        <w:tc>
          <w:tcPr>
            <w:tcW w:w="409" w:type="dxa"/>
            <w:tcBorders>
              <w:bottom w:val="single" w:sz="4"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40" w:after="81"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4</w:t>
            </w:r>
          </w:p>
        </w:tc>
        <w:tc>
          <w:tcPr>
            <w:tcW w:w="410" w:type="dxa"/>
            <w:tcBorders>
              <w:bottom w:val="single" w:sz="4"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40" w:after="81"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w:t>
            </w:r>
          </w:p>
        </w:tc>
        <w:tc>
          <w:tcPr>
            <w:tcW w:w="396" w:type="dxa"/>
            <w:tcBorders>
              <w:bottom w:val="single" w:sz="4" w:space="0" w:color="auto"/>
            </w:tcBorders>
            <w:shd w:val="clear" w:color="auto" w:fill="auto"/>
            <w:vAlign w:val="bottom"/>
            <w:hideMark/>
          </w:tcPr>
          <w:p w:rsidR="004D26EA" w:rsidRPr="00C1074D" w:rsidRDefault="004D26EA" w:rsidP="004D26EA">
            <w:pPr>
              <w:tabs>
                <w:tab w:val="left" w:pos="288"/>
                <w:tab w:val="left" w:pos="576"/>
                <w:tab w:val="left" w:pos="864"/>
                <w:tab w:val="left" w:pos="1152"/>
              </w:tabs>
              <w:spacing w:before="40" w:after="81" w:line="210" w:lineRule="exact"/>
              <w:ind w:right="43"/>
              <w:jc w:val="right"/>
              <w:rPr>
                <w:rFonts w:asciiTheme="majorBidi" w:hAnsiTheme="majorBidi" w:cstheme="majorBidi"/>
                <w:b/>
                <w:bCs/>
                <w:sz w:val="17"/>
                <w:szCs w:val="17"/>
              </w:rPr>
            </w:pPr>
            <w:r w:rsidRPr="00C1074D">
              <w:rPr>
                <w:rFonts w:asciiTheme="majorBidi" w:hAnsiTheme="majorBidi" w:cstheme="majorBidi"/>
                <w:b/>
                <w:bCs/>
                <w:sz w:val="17"/>
                <w:szCs w:val="17"/>
              </w:rPr>
              <w:t>29</w:t>
            </w:r>
          </w:p>
        </w:tc>
        <w:tc>
          <w:tcPr>
            <w:tcW w:w="792" w:type="dxa"/>
            <w:tcBorders>
              <w:bottom w:val="single" w:sz="4"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40" w:after="81"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12</w:t>
            </w:r>
          </w:p>
        </w:tc>
        <w:tc>
          <w:tcPr>
            <w:tcW w:w="783" w:type="dxa"/>
            <w:tcBorders>
              <w:bottom w:val="single" w:sz="4"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40" w:after="81"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2</w:t>
            </w:r>
          </w:p>
        </w:tc>
        <w:tc>
          <w:tcPr>
            <w:tcW w:w="693" w:type="dxa"/>
            <w:tcBorders>
              <w:bottom w:val="single" w:sz="4" w:space="0" w:color="auto"/>
            </w:tcBorders>
            <w:shd w:val="clear" w:color="auto" w:fill="auto"/>
            <w:vAlign w:val="bottom"/>
            <w:hideMark/>
          </w:tcPr>
          <w:p w:rsidR="004D26EA" w:rsidRPr="00C1074D" w:rsidRDefault="004D26EA" w:rsidP="004D26EA">
            <w:pPr>
              <w:tabs>
                <w:tab w:val="left" w:pos="288"/>
                <w:tab w:val="left" w:pos="576"/>
                <w:tab w:val="left" w:pos="864"/>
                <w:tab w:val="left" w:pos="1152"/>
              </w:tabs>
              <w:spacing w:before="40" w:after="81" w:line="210" w:lineRule="exact"/>
              <w:ind w:right="43"/>
              <w:jc w:val="right"/>
              <w:rPr>
                <w:rFonts w:asciiTheme="majorBidi" w:hAnsiTheme="majorBidi" w:cstheme="majorBidi"/>
                <w:b/>
                <w:bCs/>
                <w:sz w:val="17"/>
                <w:szCs w:val="17"/>
              </w:rPr>
            </w:pPr>
            <w:r w:rsidRPr="00C1074D">
              <w:rPr>
                <w:rFonts w:asciiTheme="majorBidi" w:hAnsiTheme="majorBidi" w:cstheme="majorBidi"/>
                <w:b/>
                <w:bCs/>
                <w:sz w:val="17"/>
                <w:szCs w:val="17"/>
              </w:rPr>
              <w:t>43</w:t>
            </w:r>
          </w:p>
        </w:tc>
        <w:tc>
          <w:tcPr>
            <w:tcW w:w="900" w:type="dxa"/>
            <w:gridSpan w:val="2"/>
            <w:tcBorders>
              <w:bottom w:val="single" w:sz="4"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40" w:after="81"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3</w:t>
            </w:r>
          </w:p>
        </w:tc>
        <w:tc>
          <w:tcPr>
            <w:tcW w:w="540" w:type="dxa"/>
            <w:tcBorders>
              <w:bottom w:val="single" w:sz="4"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40" w:after="81"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7</w:t>
            </w:r>
          </w:p>
        </w:tc>
        <w:tc>
          <w:tcPr>
            <w:tcW w:w="774" w:type="dxa"/>
            <w:tcBorders>
              <w:bottom w:val="single" w:sz="4"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40" w:after="81" w:line="210" w:lineRule="exact"/>
              <w:ind w:right="43"/>
              <w:jc w:val="right"/>
              <w:rPr>
                <w:rFonts w:asciiTheme="majorBidi" w:hAnsiTheme="majorBidi" w:cstheme="majorBidi"/>
                <w:sz w:val="17"/>
                <w:szCs w:val="17"/>
              </w:rPr>
            </w:pPr>
            <w:r w:rsidRPr="000919BC">
              <w:rPr>
                <w:rFonts w:asciiTheme="majorBidi" w:hAnsiTheme="majorBidi" w:cstheme="majorBidi"/>
                <w:sz w:val="17"/>
                <w:szCs w:val="17"/>
              </w:rPr>
              <w:t>–</w:t>
            </w:r>
          </w:p>
        </w:tc>
        <w:tc>
          <w:tcPr>
            <w:tcW w:w="495" w:type="dxa"/>
            <w:tcBorders>
              <w:bottom w:val="single" w:sz="4" w:space="0" w:color="auto"/>
            </w:tcBorders>
            <w:shd w:val="clear" w:color="auto" w:fill="auto"/>
            <w:vAlign w:val="bottom"/>
            <w:hideMark/>
          </w:tcPr>
          <w:p w:rsidR="004D26EA" w:rsidRPr="00C1074D" w:rsidRDefault="004D26EA" w:rsidP="004D26EA">
            <w:pPr>
              <w:tabs>
                <w:tab w:val="left" w:pos="288"/>
                <w:tab w:val="left" w:pos="576"/>
                <w:tab w:val="left" w:pos="864"/>
                <w:tab w:val="left" w:pos="1152"/>
              </w:tabs>
              <w:spacing w:before="40" w:after="81" w:line="210" w:lineRule="exact"/>
              <w:ind w:right="43"/>
              <w:jc w:val="right"/>
              <w:rPr>
                <w:rFonts w:asciiTheme="majorBidi" w:hAnsiTheme="majorBidi" w:cstheme="majorBidi"/>
                <w:b/>
                <w:bCs/>
                <w:sz w:val="17"/>
                <w:szCs w:val="17"/>
              </w:rPr>
            </w:pPr>
            <w:r w:rsidRPr="00C1074D">
              <w:rPr>
                <w:rFonts w:asciiTheme="majorBidi" w:hAnsiTheme="majorBidi" w:cstheme="majorBidi"/>
                <w:b/>
                <w:bCs/>
                <w:sz w:val="17"/>
                <w:szCs w:val="17"/>
              </w:rPr>
              <w:t>53</w:t>
            </w:r>
          </w:p>
        </w:tc>
      </w:tr>
      <w:tr w:rsidR="004D26EA" w:rsidRPr="000919BC" w:rsidTr="004D26EA">
        <w:trPr>
          <w:trHeight w:val="20"/>
        </w:trPr>
        <w:tc>
          <w:tcPr>
            <w:tcW w:w="1233" w:type="dxa"/>
            <w:tcBorders>
              <w:top w:val="single" w:sz="4" w:space="0" w:color="auto"/>
              <w:bottom w:val="single" w:sz="12"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81" w:after="81" w:line="210" w:lineRule="exact"/>
              <w:ind w:right="40"/>
              <w:rPr>
                <w:rFonts w:asciiTheme="majorBidi" w:hAnsiTheme="majorBidi" w:cstheme="majorBidi"/>
                <w:b/>
                <w:sz w:val="17"/>
                <w:szCs w:val="17"/>
              </w:rPr>
            </w:pPr>
            <w:r w:rsidRPr="000919BC">
              <w:rPr>
                <w:rFonts w:asciiTheme="majorBidi" w:hAnsiTheme="majorBidi" w:cstheme="majorBidi"/>
                <w:sz w:val="17"/>
                <w:szCs w:val="17"/>
              </w:rPr>
              <w:tab/>
            </w:r>
            <w:r w:rsidRPr="000919BC">
              <w:rPr>
                <w:rFonts w:asciiTheme="majorBidi" w:hAnsiTheme="majorBidi" w:cstheme="majorBidi"/>
                <w:b/>
                <w:sz w:val="17"/>
                <w:szCs w:val="17"/>
              </w:rPr>
              <w:t>Variación</w:t>
            </w:r>
          </w:p>
        </w:tc>
        <w:tc>
          <w:tcPr>
            <w:tcW w:w="364" w:type="dxa"/>
            <w:tcBorders>
              <w:top w:val="single" w:sz="4" w:space="0" w:color="auto"/>
              <w:bottom w:val="single" w:sz="12"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81" w:after="81" w:line="210" w:lineRule="exact"/>
              <w:ind w:right="43"/>
              <w:jc w:val="right"/>
              <w:rPr>
                <w:rFonts w:asciiTheme="majorBidi" w:hAnsiTheme="majorBidi" w:cstheme="majorBidi"/>
                <w:b/>
                <w:sz w:val="17"/>
                <w:szCs w:val="17"/>
              </w:rPr>
            </w:pPr>
            <w:r w:rsidRPr="000919BC">
              <w:rPr>
                <w:rFonts w:asciiTheme="majorBidi" w:hAnsiTheme="majorBidi" w:cstheme="majorBidi"/>
                <w:sz w:val="17"/>
                <w:szCs w:val="17"/>
              </w:rPr>
              <w:t>–</w:t>
            </w:r>
          </w:p>
        </w:tc>
        <w:tc>
          <w:tcPr>
            <w:tcW w:w="410" w:type="dxa"/>
            <w:tcBorders>
              <w:top w:val="single" w:sz="4" w:space="0" w:color="auto"/>
              <w:bottom w:val="single" w:sz="12"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81" w:after="81" w:line="210" w:lineRule="exact"/>
              <w:ind w:right="43"/>
              <w:jc w:val="right"/>
              <w:rPr>
                <w:rFonts w:asciiTheme="majorBidi" w:hAnsiTheme="majorBidi" w:cstheme="majorBidi"/>
                <w:b/>
                <w:sz w:val="17"/>
                <w:szCs w:val="17"/>
              </w:rPr>
            </w:pPr>
            <w:r w:rsidRPr="000919BC">
              <w:rPr>
                <w:rFonts w:asciiTheme="majorBidi" w:hAnsiTheme="majorBidi" w:cstheme="majorBidi"/>
                <w:sz w:val="17"/>
                <w:szCs w:val="17"/>
              </w:rPr>
              <w:t>–</w:t>
            </w:r>
          </w:p>
        </w:tc>
        <w:tc>
          <w:tcPr>
            <w:tcW w:w="409" w:type="dxa"/>
            <w:tcBorders>
              <w:top w:val="single" w:sz="4" w:space="0" w:color="auto"/>
              <w:bottom w:val="single" w:sz="12"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81" w:after="81" w:line="210" w:lineRule="exact"/>
              <w:ind w:right="43"/>
              <w:jc w:val="right"/>
              <w:rPr>
                <w:rFonts w:asciiTheme="majorBidi" w:hAnsiTheme="majorBidi" w:cstheme="majorBidi"/>
                <w:b/>
                <w:sz w:val="17"/>
                <w:szCs w:val="17"/>
              </w:rPr>
            </w:pPr>
            <w:r w:rsidRPr="000919BC">
              <w:rPr>
                <w:rFonts w:asciiTheme="majorBidi" w:hAnsiTheme="majorBidi" w:cstheme="majorBidi"/>
                <w:sz w:val="17"/>
                <w:szCs w:val="17"/>
              </w:rPr>
              <w:t>–</w:t>
            </w:r>
          </w:p>
        </w:tc>
        <w:tc>
          <w:tcPr>
            <w:tcW w:w="410" w:type="dxa"/>
            <w:tcBorders>
              <w:top w:val="single" w:sz="4" w:space="0" w:color="auto"/>
              <w:bottom w:val="single" w:sz="12"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81" w:after="81" w:line="210" w:lineRule="exact"/>
              <w:ind w:right="43"/>
              <w:jc w:val="right"/>
              <w:rPr>
                <w:rFonts w:asciiTheme="majorBidi" w:hAnsiTheme="majorBidi" w:cstheme="majorBidi"/>
                <w:b/>
                <w:sz w:val="17"/>
                <w:szCs w:val="17"/>
              </w:rPr>
            </w:pPr>
            <w:r w:rsidRPr="000919BC">
              <w:rPr>
                <w:rFonts w:asciiTheme="majorBidi" w:hAnsiTheme="majorBidi" w:cstheme="majorBidi"/>
                <w:sz w:val="17"/>
                <w:szCs w:val="17"/>
              </w:rPr>
              <w:t>–</w:t>
            </w:r>
          </w:p>
        </w:tc>
        <w:tc>
          <w:tcPr>
            <w:tcW w:w="409" w:type="dxa"/>
            <w:tcBorders>
              <w:top w:val="single" w:sz="4" w:space="0" w:color="auto"/>
              <w:bottom w:val="single" w:sz="12"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81" w:after="81" w:line="210" w:lineRule="exact"/>
              <w:ind w:right="43"/>
              <w:jc w:val="right"/>
              <w:rPr>
                <w:rFonts w:asciiTheme="majorBidi" w:hAnsiTheme="majorBidi" w:cstheme="majorBidi"/>
                <w:b/>
                <w:sz w:val="17"/>
                <w:szCs w:val="17"/>
              </w:rPr>
            </w:pPr>
            <w:r w:rsidRPr="000919BC">
              <w:rPr>
                <w:rFonts w:asciiTheme="majorBidi" w:hAnsiTheme="majorBidi" w:cstheme="majorBidi"/>
                <w:sz w:val="17"/>
                <w:szCs w:val="17"/>
              </w:rPr>
              <w:t>2</w:t>
            </w:r>
          </w:p>
        </w:tc>
        <w:tc>
          <w:tcPr>
            <w:tcW w:w="410" w:type="dxa"/>
            <w:tcBorders>
              <w:top w:val="single" w:sz="4" w:space="0" w:color="auto"/>
              <w:bottom w:val="single" w:sz="12"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81" w:after="81" w:line="210" w:lineRule="exact"/>
              <w:ind w:right="43"/>
              <w:jc w:val="right"/>
              <w:rPr>
                <w:rFonts w:asciiTheme="majorBidi" w:hAnsiTheme="majorBidi" w:cstheme="majorBidi"/>
                <w:b/>
                <w:sz w:val="17"/>
                <w:szCs w:val="17"/>
              </w:rPr>
            </w:pPr>
            <w:r w:rsidRPr="000919BC">
              <w:rPr>
                <w:rFonts w:asciiTheme="majorBidi" w:hAnsiTheme="majorBidi" w:cstheme="majorBidi"/>
                <w:sz w:val="17"/>
                <w:szCs w:val="17"/>
              </w:rPr>
              <w:t>7</w:t>
            </w:r>
          </w:p>
        </w:tc>
        <w:tc>
          <w:tcPr>
            <w:tcW w:w="409" w:type="dxa"/>
            <w:tcBorders>
              <w:top w:val="single" w:sz="4" w:space="0" w:color="auto"/>
              <w:bottom w:val="single" w:sz="12"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81" w:after="81" w:line="210" w:lineRule="exact"/>
              <w:ind w:right="43"/>
              <w:jc w:val="right"/>
              <w:rPr>
                <w:rFonts w:asciiTheme="majorBidi" w:hAnsiTheme="majorBidi" w:cstheme="majorBidi"/>
                <w:b/>
                <w:sz w:val="17"/>
                <w:szCs w:val="17"/>
              </w:rPr>
            </w:pPr>
            <w:r w:rsidRPr="000919BC">
              <w:rPr>
                <w:rFonts w:asciiTheme="majorBidi" w:hAnsiTheme="majorBidi" w:cstheme="majorBidi"/>
                <w:sz w:val="17"/>
                <w:szCs w:val="17"/>
              </w:rPr>
              <w:t>2</w:t>
            </w:r>
          </w:p>
        </w:tc>
        <w:tc>
          <w:tcPr>
            <w:tcW w:w="410" w:type="dxa"/>
            <w:tcBorders>
              <w:top w:val="single" w:sz="4" w:space="0" w:color="auto"/>
              <w:bottom w:val="single" w:sz="12"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81" w:after="81" w:line="210" w:lineRule="exact"/>
              <w:ind w:right="43"/>
              <w:jc w:val="right"/>
              <w:rPr>
                <w:rFonts w:asciiTheme="majorBidi" w:hAnsiTheme="majorBidi" w:cstheme="majorBidi"/>
                <w:b/>
                <w:sz w:val="17"/>
                <w:szCs w:val="17"/>
              </w:rPr>
            </w:pPr>
            <w:r w:rsidRPr="000919BC">
              <w:rPr>
                <w:rFonts w:asciiTheme="majorBidi" w:hAnsiTheme="majorBidi" w:cstheme="majorBidi"/>
                <w:sz w:val="17"/>
                <w:szCs w:val="17"/>
              </w:rPr>
              <w:t>–</w:t>
            </w:r>
          </w:p>
        </w:tc>
        <w:tc>
          <w:tcPr>
            <w:tcW w:w="396" w:type="dxa"/>
            <w:tcBorders>
              <w:top w:val="single" w:sz="4" w:space="0" w:color="auto"/>
              <w:bottom w:val="single" w:sz="12" w:space="0" w:color="auto"/>
            </w:tcBorders>
            <w:shd w:val="clear" w:color="auto" w:fill="auto"/>
            <w:vAlign w:val="bottom"/>
            <w:hideMark/>
          </w:tcPr>
          <w:p w:rsidR="004D26EA" w:rsidRPr="00C1074D" w:rsidRDefault="004D26EA" w:rsidP="004D26EA">
            <w:pPr>
              <w:tabs>
                <w:tab w:val="left" w:pos="288"/>
                <w:tab w:val="left" w:pos="576"/>
                <w:tab w:val="left" w:pos="864"/>
                <w:tab w:val="left" w:pos="1152"/>
              </w:tabs>
              <w:spacing w:before="81" w:after="81" w:line="210" w:lineRule="exact"/>
              <w:ind w:right="43"/>
              <w:jc w:val="right"/>
              <w:rPr>
                <w:rFonts w:asciiTheme="majorBidi" w:hAnsiTheme="majorBidi" w:cstheme="majorBidi"/>
                <w:b/>
                <w:bCs/>
                <w:sz w:val="17"/>
                <w:szCs w:val="17"/>
              </w:rPr>
            </w:pPr>
            <w:r w:rsidRPr="00C1074D">
              <w:rPr>
                <w:rFonts w:asciiTheme="majorBidi" w:hAnsiTheme="majorBidi" w:cstheme="majorBidi"/>
                <w:b/>
                <w:bCs/>
                <w:sz w:val="17"/>
                <w:szCs w:val="17"/>
              </w:rPr>
              <w:t>11</w:t>
            </w:r>
          </w:p>
        </w:tc>
        <w:tc>
          <w:tcPr>
            <w:tcW w:w="792" w:type="dxa"/>
            <w:tcBorders>
              <w:top w:val="single" w:sz="4" w:space="0" w:color="auto"/>
              <w:bottom w:val="single" w:sz="12"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81" w:after="81" w:line="210" w:lineRule="exact"/>
              <w:ind w:right="43"/>
              <w:jc w:val="right"/>
              <w:rPr>
                <w:rFonts w:asciiTheme="majorBidi" w:hAnsiTheme="majorBidi" w:cstheme="majorBidi"/>
                <w:b/>
                <w:sz w:val="17"/>
                <w:szCs w:val="17"/>
              </w:rPr>
            </w:pPr>
            <w:r w:rsidRPr="000919BC">
              <w:rPr>
                <w:rFonts w:asciiTheme="majorBidi" w:hAnsiTheme="majorBidi" w:cstheme="majorBidi"/>
                <w:sz w:val="17"/>
                <w:szCs w:val="17"/>
              </w:rPr>
              <w:t>5</w:t>
            </w:r>
          </w:p>
        </w:tc>
        <w:tc>
          <w:tcPr>
            <w:tcW w:w="783" w:type="dxa"/>
            <w:tcBorders>
              <w:top w:val="single" w:sz="4" w:space="0" w:color="auto"/>
              <w:bottom w:val="single" w:sz="12"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81" w:after="81" w:line="210" w:lineRule="exact"/>
              <w:ind w:right="43"/>
              <w:jc w:val="right"/>
              <w:rPr>
                <w:rFonts w:asciiTheme="majorBidi" w:hAnsiTheme="majorBidi" w:cstheme="majorBidi"/>
                <w:b/>
                <w:sz w:val="17"/>
                <w:szCs w:val="17"/>
              </w:rPr>
            </w:pPr>
            <w:r w:rsidRPr="000919BC">
              <w:rPr>
                <w:rFonts w:asciiTheme="majorBidi" w:hAnsiTheme="majorBidi" w:cstheme="majorBidi"/>
                <w:sz w:val="17"/>
                <w:szCs w:val="17"/>
              </w:rPr>
              <w:t>1</w:t>
            </w:r>
          </w:p>
        </w:tc>
        <w:tc>
          <w:tcPr>
            <w:tcW w:w="693" w:type="dxa"/>
            <w:tcBorders>
              <w:top w:val="single" w:sz="4" w:space="0" w:color="auto"/>
              <w:bottom w:val="single" w:sz="12" w:space="0" w:color="auto"/>
            </w:tcBorders>
            <w:shd w:val="clear" w:color="auto" w:fill="auto"/>
            <w:vAlign w:val="bottom"/>
            <w:hideMark/>
          </w:tcPr>
          <w:p w:rsidR="004D26EA" w:rsidRPr="00C1074D" w:rsidRDefault="004D26EA" w:rsidP="004D26EA">
            <w:pPr>
              <w:tabs>
                <w:tab w:val="left" w:pos="288"/>
                <w:tab w:val="left" w:pos="576"/>
                <w:tab w:val="left" w:pos="864"/>
                <w:tab w:val="left" w:pos="1152"/>
              </w:tabs>
              <w:spacing w:before="81" w:after="81" w:line="210" w:lineRule="exact"/>
              <w:ind w:right="43"/>
              <w:jc w:val="right"/>
              <w:rPr>
                <w:rFonts w:asciiTheme="majorBidi" w:hAnsiTheme="majorBidi" w:cstheme="majorBidi"/>
                <w:b/>
                <w:bCs/>
                <w:sz w:val="17"/>
                <w:szCs w:val="17"/>
              </w:rPr>
            </w:pPr>
            <w:r w:rsidRPr="00C1074D">
              <w:rPr>
                <w:rFonts w:asciiTheme="majorBidi" w:hAnsiTheme="majorBidi" w:cstheme="majorBidi"/>
                <w:b/>
                <w:bCs/>
                <w:sz w:val="17"/>
                <w:szCs w:val="17"/>
              </w:rPr>
              <w:t>17</w:t>
            </w:r>
          </w:p>
        </w:tc>
        <w:tc>
          <w:tcPr>
            <w:tcW w:w="900" w:type="dxa"/>
            <w:gridSpan w:val="2"/>
            <w:tcBorders>
              <w:top w:val="single" w:sz="4" w:space="0" w:color="auto"/>
              <w:bottom w:val="single" w:sz="12"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81" w:after="81" w:line="210" w:lineRule="exact"/>
              <w:ind w:right="43"/>
              <w:jc w:val="right"/>
              <w:rPr>
                <w:rFonts w:asciiTheme="majorBidi" w:hAnsiTheme="majorBidi" w:cstheme="majorBidi"/>
                <w:b/>
                <w:sz w:val="17"/>
                <w:szCs w:val="17"/>
              </w:rPr>
            </w:pPr>
            <w:r w:rsidRPr="000919BC">
              <w:rPr>
                <w:rFonts w:asciiTheme="majorBidi" w:hAnsiTheme="majorBidi" w:cstheme="majorBidi"/>
                <w:sz w:val="17"/>
                <w:szCs w:val="17"/>
              </w:rPr>
              <w:t>1</w:t>
            </w:r>
          </w:p>
        </w:tc>
        <w:tc>
          <w:tcPr>
            <w:tcW w:w="540" w:type="dxa"/>
            <w:tcBorders>
              <w:top w:val="single" w:sz="4" w:space="0" w:color="auto"/>
              <w:bottom w:val="single" w:sz="12"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81" w:after="81" w:line="210" w:lineRule="exact"/>
              <w:ind w:right="43"/>
              <w:jc w:val="right"/>
              <w:rPr>
                <w:rFonts w:asciiTheme="majorBidi" w:hAnsiTheme="majorBidi" w:cstheme="majorBidi"/>
                <w:b/>
                <w:sz w:val="17"/>
                <w:szCs w:val="17"/>
              </w:rPr>
            </w:pPr>
            <w:r w:rsidRPr="000919BC">
              <w:rPr>
                <w:rFonts w:asciiTheme="majorBidi" w:hAnsiTheme="majorBidi" w:cstheme="majorBidi"/>
                <w:sz w:val="17"/>
                <w:szCs w:val="17"/>
              </w:rPr>
              <w:t>2</w:t>
            </w:r>
          </w:p>
        </w:tc>
        <w:tc>
          <w:tcPr>
            <w:tcW w:w="774" w:type="dxa"/>
            <w:tcBorders>
              <w:top w:val="single" w:sz="4" w:space="0" w:color="auto"/>
              <w:bottom w:val="single" w:sz="12" w:space="0" w:color="auto"/>
            </w:tcBorders>
            <w:shd w:val="clear" w:color="auto" w:fill="auto"/>
            <w:vAlign w:val="bottom"/>
            <w:hideMark/>
          </w:tcPr>
          <w:p w:rsidR="004D26EA" w:rsidRPr="000919BC" w:rsidRDefault="004D26EA" w:rsidP="004D26EA">
            <w:pPr>
              <w:tabs>
                <w:tab w:val="left" w:pos="288"/>
                <w:tab w:val="left" w:pos="576"/>
                <w:tab w:val="left" w:pos="864"/>
                <w:tab w:val="left" w:pos="1152"/>
              </w:tabs>
              <w:spacing w:before="81" w:after="81" w:line="210" w:lineRule="exact"/>
              <w:ind w:right="43"/>
              <w:jc w:val="right"/>
              <w:rPr>
                <w:rFonts w:asciiTheme="majorBidi" w:hAnsiTheme="majorBidi" w:cstheme="majorBidi"/>
                <w:b/>
                <w:sz w:val="17"/>
                <w:szCs w:val="17"/>
              </w:rPr>
            </w:pPr>
            <w:r w:rsidRPr="000919BC">
              <w:rPr>
                <w:rFonts w:asciiTheme="majorBidi" w:hAnsiTheme="majorBidi" w:cstheme="majorBidi"/>
                <w:sz w:val="17"/>
                <w:szCs w:val="17"/>
              </w:rPr>
              <w:t>–</w:t>
            </w:r>
          </w:p>
        </w:tc>
        <w:tc>
          <w:tcPr>
            <w:tcW w:w="495" w:type="dxa"/>
            <w:tcBorders>
              <w:top w:val="single" w:sz="4" w:space="0" w:color="auto"/>
              <w:bottom w:val="single" w:sz="12" w:space="0" w:color="auto"/>
            </w:tcBorders>
            <w:shd w:val="clear" w:color="auto" w:fill="auto"/>
            <w:vAlign w:val="bottom"/>
            <w:hideMark/>
          </w:tcPr>
          <w:p w:rsidR="004D26EA" w:rsidRPr="00C1074D" w:rsidRDefault="004D26EA" w:rsidP="004D26EA">
            <w:pPr>
              <w:tabs>
                <w:tab w:val="left" w:pos="288"/>
                <w:tab w:val="left" w:pos="576"/>
                <w:tab w:val="left" w:pos="864"/>
                <w:tab w:val="left" w:pos="1152"/>
              </w:tabs>
              <w:spacing w:before="81" w:after="81" w:line="210" w:lineRule="exact"/>
              <w:ind w:right="43"/>
              <w:jc w:val="right"/>
              <w:rPr>
                <w:rFonts w:asciiTheme="majorBidi" w:hAnsiTheme="majorBidi" w:cstheme="majorBidi"/>
                <w:b/>
                <w:bCs/>
                <w:sz w:val="17"/>
                <w:szCs w:val="17"/>
              </w:rPr>
            </w:pPr>
            <w:r w:rsidRPr="00C1074D">
              <w:rPr>
                <w:rFonts w:asciiTheme="majorBidi" w:hAnsiTheme="majorBidi" w:cstheme="majorBidi"/>
                <w:b/>
                <w:bCs/>
                <w:sz w:val="17"/>
                <w:szCs w:val="17"/>
              </w:rPr>
              <w:t>20</w:t>
            </w:r>
          </w:p>
        </w:tc>
      </w:tr>
    </w:tbl>
    <w:p w:rsidR="004D26EA" w:rsidRPr="000919BC" w:rsidRDefault="004D26EA" w:rsidP="004D26EA">
      <w:pPr>
        <w:pStyle w:val="SingleTxt"/>
        <w:spacing w:after="0" w:line="120" w:lineRule="exact"/>
        <w:rPr>
          <w:sz w:val="10"/>
          <w:lang w:val="es-ES_tradnl"/>
        </w:rPr>
      </w:pPr>
    </w:p>
    <w:p w:rsidR="004D26EA" w:rsidRPr="000919BC" w:rsidRDefault="004D26EA" w:rsidP="004D26EA">
      <w:pPr>
        <w:pStyle w:val="SingleTxt"/>
        <w:spacing w:after="0" w:line="120" w:lineRule="exact"/>
        <w:rPr>
          <w:sz w:val="10"/>
          <w:lang w:val="es-ES_tradnl"/>
        </w:rPr>
      </w:pPr>
    </w:p>
    <w:p w:rsidR="004D26EA" w:rsidRPr="000919BC" w:rsidRDefault="004D26EA" w:rsidP="004D26EA">
      <w:pPr>
        <w:pStyle w:val="SingleTxt"/>
        <w:spacing w:after="0" w:line="120" w:lineRule="exact"/>
        <w:rPr>
          <w:sz w:val="10"/>
          <w:lang w:val="es-ES_tradnl"/>
        </w:rPr>
      </w:pPr>
    </w:p>
    <w:p w:rsidR="004D26EA" w:rsidRPr="000919BC" w:rsidRDefault="004D26EA" w:rsidP="004D26EA">
      <w:pPr>
        <w:pStyle w:val="SingleTxt"/>
        <w:numPr>
          <w:ilvl w:val="0"/>
          <w:numId w:val="25"/>
        </w:numPr>
        <w:ind w:left="1267"/>
        <w:rPr>
          <w:lang w:val="es-ES_tradnl"/>
        </w:rPr>
      </w:pPr>
      <w:r w:rsidRPr="000919BC">
        <w:rPr>
          <w:lang w:val="es-ES_tradnl"/>
        </w:rPr>
        <w:t>La plantilla complementaria propuesta para la Oficina del Asesor Especial para 2017 comprendería un total de 53 plazas (1 de Secretario General Adjunto, 1 D-2, 2 D-1, 8 P-5, 13 P-4, 4 P-3, 12 del Servicio Móvil, 2 del Cuadro de Servicios Generales, 3 de funcionario nacional del Cuadro Orgánico y 7 de contratación local), cifra que refleja la creación de las 20 nuevas plazas que se proponen y el mantenimiento de 33 plazas existentes en 2016. A continuación se presenta un resumen de los cambios propuestos en la dotación de personal.</w:t>
      </w:r>
    </w:p>
    <w:p w:rsidR="004D26EA" w:rsidRPr="000919BC" w:rsidRDefault="004D26EA" w:rsidP="004D26EA">
      <w:pPr>
        <w:pStyle w:val="SingleTxt"/>
        <w:rPr>
          <w:lang w:val="es-ES_tradnl"/>
        </w:rPr>
      </w:pPr>
      <w:r w:rsidRPr="000919BC">
        <w:rPr>
          <w:lang w:val="es-ES_tradnl"/>
        </w:rPr>
        <w:tab/>
        <w:t>a)</w:t>
      </w:r>
      <w:r w:rsidRPr="000919BC">
        <w:rPr>
          <w:lang w:val="es-ES_tradnl"/>
        </w:rPr>
        <w:tab/>
        <w:t>Quince nuevas plazas sustantivas, a saber:</w:t>
      </w:r>
    </w:p>
    <w:p w:rsidR="004D26EA" w:rsidRPr="000919BC" w:rsidRDefault="004D26EA" w:rsidP="004D26EA">
      <w:pPr>
        <w:pStyle w:val="SingleTxt"/>
        <w:ind w:left="1742" w:hanging="475"/>
        <w:rPr>
          <w:lang w:val="es-ES_tradnl"/>
        </w:rPr>
      </w:pPr>
      <w:r>
        <w:rPr>
          <w:lang w:val="es-ES_tradnl"/>
        </w:rPr>
        <w:tab/>
        <w:t>i)</w:t>
      </w:r>
      <w:r w:rsidRPr="000919BC">
        <w:rPr>
          <w:lang w:val="es-ES_tradnl"/>
        </w:rPr>
        <w:tab/>
        <w:t>Tres nuevas plazas (1 P-4, 1 P-3 y 1 de Servicios Generales (otras categorías)) para la Oficina del Asesor Especial en Nueva York, para la planificación del despliegue de una aportación de fuerzas de policía de las Naciones Unidas y para el análisis de la información;</w:t>
      </w:r>
    </w:p>
    <w:p w:rsidR="004D26EA" w:rsidRPr="000919BC" w:rsidRDefault="004D26EA" w:rsidP="004D26EA">
      <w:pPr>
        <w:pStyle w:val="SingleTxt"/>
        <w:ind w:left="1742" w:hanging="475"/>
        <w:rPr>
          <w:lang w:val="es-ES_tradnl"/>
        </w:rPr>
      </w:pPr>
      <w:r>
        <w:rPr>
          <w:lang w:val="es-ES_tradnl"/>
        </w:rPr>
        <w:tab/>
        <w:t>ii)</w:t>
      </w:r>
      <w:r w:rsidRPr="000919BC">
        <w:rPr>
          <w:lang w:val="es-ES_tradnl"/>
        </w:rPr>
        <w:tab/>
        <w:t>Una nueva plaza de apoyo de Oficial de Asuntos Políticos (P-3) en el Departamento de Asuntos Políticos de la Sede;</w:t>
      </w:r>
    </w:p>
    <w:p w:rsidR="004D26EA" w:rsidRPr="000919BC" w:rsidRDefault="004D26EA" w:rsidP="004D26EA">
      <w:pPr>
        <w:pStyle w:val="SingleTxt"/>
        <w:ind w:left="1742" w:hanging="475"/>
        <w:rPr>
          <w:lang w:val="es-ES_tradnl"/>
        </w:rPr>
      </w:pPr>
      <w:r w:rsidRPr="000919BC">
        <w:rPr>
          <w:lang w:val="es-ES_tradnl"/>
        </w:rPr>
        <w:tab/>
        <w:t>iii</w:t>
      </w:r>
      <w:r>
        <w:rPr>
          <w:lang w:val="es-ES_tradnl"/>
        </w:rPr>
        <w:t>)</w:t>
      </w:r>
      <w:r w:rsidRPr="000919BC">
        <w:rPr>
          <w:lang w:val="es-ES_tradnl"/>
        </w:rPr>
        <w:tab/>
        <w:t>C</w:t>
      </w:r>
      <w:r>
        <w:rPr>
          <w:lang w:val="es-ES_tradnl"/>
        </w:rPr>
        <w:t>inco nuevas plazas (1 P-5 y 4 P</w:t>
      </w:r>
      <w:r w:rsidRPr="000919BC">
        <w:rPr>
          <w:lang w:val="es-ES_tradnl"/>
        </w:rPr>
        <w:t>-4) para reforzar la Dependencia de Apoyo al Diálogo en Burundi, incluso en tres oficinas regionales;</w:t>
      </w:r>
    </w:p>
    <w:p w:rsidR="004D26EA" w:rsidRPr="000919BC" w:rsidRDefault="004D26EA" w:rsidP="004D26EA">
      <w:pPr>
        <w:pStyle w:val="SingleTxt"/>
        <w:ind w:left="1742" w:hanging="475"/>
        <w:rPr>
          <w:lang w:val="es-ES_tradnl"/>
        </w:rPr>
      </w:pPr>
      <w:r>
        <w:rPr>
          <w:lang w:val="es-ES_tradnl"/>
        </w:rPr>
        <w:tab/>
        <w:t>iv)</w:t>
      </w:r>
      <w:r w:rsidRPr="000919BC">
        <w:rPr>
          <w:lang w:val="es-ES_tradnl"/>
        </w:rPr>
        <w:tab/>
        <w:t xml:space="preserve">Cinco nuevas plazas (1 P-5, 2 P-4 y 2 del Servicio Móvil) para la Dependencia de Seguridad y Estado de Derecho en Burundi; </w:t>
      </w:r>
    </w:p>
    <w:p w:rsidR="004D26EA" w:rsidRPr="000919BC" w:rsidRDefault="004D26EA" w:rsidP="004D26EA">
      <w:pPr>
        <w:pStyle w:val="SingleTxt"/>
        <w:ind w:left="1742" w:hanging="475"/>
        <w:rPr>
          <w:lang w:val="es-ES_tradnl"/>
        </w:rPr>
      </w:pPr>
      <w:r w:rsidRPr="000919BC">
        <w:rPr>
          <w:lang w:val="es-ES_tradnl"/>
        </w:rPr>
        <w:tab/>
        <w:t>v</w:t>
      </w:r>
      <w:r>
        <w:rPr>
          <w:lang w:val="es-ES_tradnl"/>
        </w:rPr>
        <w:t>)</w:t>
      </w:r>
      <w:r w:rsidRPr="000919BC">
        <w:rPr>
          <w:lang w:val="es-ES_tradnl"/>
        </w:rPr>
        <w:tab/>
        <w:t>Una nueva plaza de funcionario nacional del Cuadro Orgánico para desempeñar las funciones de protocolo en Burundi.</w:t>
      </w:r>
    </w:p>
    <w:p w:rsidR="004D26EA" w:rsidRPr="000919BC" w:rsidRDefault="004D26EA" w:rsidP="004D26EA">
      <w:pPr>
        <w:pStyle w:val="SingleTxt"/>
        <w:rPr>
          <w:lang w:val="es-ES_tradnl"/>
        </w:rPr>
      </w:pPr>
      <w:r w:rsidRPr="000919BC">
        <w:rPr>
          <w:lang w:val="es-ES_tradnl"/>
        </w:rPr>
        <w:tab/>
        <w:t>b)</w:t>
      </w:r>
      <w:r w:rsidRPr="000919BC">
        <w:rPr>
          <w:lang w:val="es-ES_tradnl"/>
        </w:rPr>
        <w:tab/>
        <w:t>Tres nuevas plazas de apoyo a la misión (1 del Servicio Móvil y 2 de contratación local) ubicadas en Burundi;</w:t>
      </w:r>
    </w:p>
    <w:p w:rsidR="004D26EA" w:rsidRPr="000919BC" w:rsidRDefault="004D26EA" w:rsidP="004D26EA">
      <w:pPr>
        <w:pStyle w:val="SingleTxt"/>
        <w:rPr>
          <w:lang w:val="es-ES_tradnl"/>
        </w:rPr>
      </w:pPr>
      <w:r w:rsidRPr="000919BC">
        <w:rPr>
          <w:lang w:val="es-ES_tradnl"/>
        </w:rPr>
        <w:tab/>
        <w:t>c)</w:t>
      </w:r>
      <w:r w:rsidRPr="000919BC">
        <w:rPr>
          <w:lang w:val="es-ES_tradnl"/>
        </w:rPr>
        <w:tab/>
        <w:t xml:space="preserve">Dos nuevas plazas de Oficial de Seguridad (2 del Servicio Móvil) ubicadas en Burundi; </w:t>
      </w:r>
    </w:p>
    <w:p w:rsidR="004D26EA" w:rsidRPr="000919BC" w:rsidRDefault="004D26EA" w:rsidP="004D26EA">
      <w:pPr>
        <w:pStyle w:val="SingleTxt"/>
        <w:rPr>
          <w:lang w:val="es-ES_tradnl"/>
        </w:rPr>
      </w:pPr>
      <w:r w:rsidRPr="000919BC">
        <w:rPr>
          <w:lang w:val="es-ES_tradnl"/>
        </w:rPr>
        <w:tab/>
        <w:t>d)</w:t>
      </w:r>
      <w:r w:rsidRPr="000919BC">
        <w:rPr>
          <w:lang w:val="es-ES_tradnl"/>
        </w:rPr>
        <w:tab/>
        <w:t>La redistribución propuesta de dos Oficiales de Asuntos Políticos (1 P-5 y 1 P-4) del actual Equipo de Apoyo a la Mediación, de Nairobi en Burundi (</w:t>
      </w:r>
      <w:hyperlink r:id="rId43" w:history="1">
        <w:r w:rsidRPr="000919BC">
          <w:rPr>
            <w:rStyle w:val="Hyperlink"/>
            <w:lang w:val="es-ES_tradnl"/>
          </w:rPr>
          <w:t>A/71/365/Add.6</w:t>
        </w:r>
      </w:hyperlink>
      <w:r w:rsidRPr="000919BC">
        <w:rPr>
          <w:lang w:val="es-ES_tradnl"/>
        </w:rPr>
        <w:t>, párrs. 79 a 85).</w:t>
      </w:r>
    </w:p>
    <w:p w:rsidR="004D26EA" w:rsidRPr="000919BC" w:rsidRDefault="004D26EA" w:rsidP="004D26EA">
      <w:pPr>
        <w:pStyle w:val="SingleTxt"/>
        <w:spacing w:after="0" w:line="120" w:lineRule="exact"/>
        <w:rPr>
          <w:sz w:val="10"/>
          <w:lang w:val="es-ES_tradnl"/>
        </w:rPr>
      </w:pPr>
    </w:p>
    <w:p w:rsidR="004D26EA" w:rsidRPr="000919BC" w:rsidRDefault="004D26EA" w:rsidP="004D2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0919BC">
        <w:rPr>
          <w:lang w:val="es-ES_tradnl"/>
        </w:rPr>
        <w:tab/>
      </w:r>
      <w:r w:rsidRPr="000919BC">
        <w:rPr>
          <w:lang w:val="es-ES_tradnl"/>
        </w:rPr>
        <w:tab/>
        <w:t>Observaciones y recomendaciones sobre las necesidades de personal</w:t>
      </w:r>
    </w:p>
    <w:p w:rsidR="004D26EA" w:rsidRPr="000919BC" w:rsidRDefault="004D26EA" w:rsidP="004D26EA">
      <w:pPr>
        <w:pStyle w:val="SingleTxt"/>
        <w:spacing w:after="0" w:line="120" w:lineRule="exact"/>
        <w:rPr>
          <w:sz w:val="10"/>
          <w:lang w:val="es-ES_tradnl"/>
        </w:rPr>
      </w:pPr>
    </w:p>
    <w:p w:rsidR="004D26EA" w:rsidRPr="000919BC" w:rsidRDefault="004D26EA" w:rsidP="004D2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rPr>
          <w:lang w:val="es-ES_tradnl"/>
        </w:rPr>
      </w:pPr>
      <w:r w:rsidRPr="000919BC">
        <w:rPr>
          <w:lang w:val="es-ES_tradnl"/>
        </w:rPr>
        <w:tab/>
      </w:r>
      <w:r w:rsidRPr="000919BC">
        <w:rPr>
          <w:lang w:val="es-ES_tradnl"/>
        </w:rPr>
        <w:tab/>
        <w:t>Observaciones generales</w:t>
      </w:r>
    </w:p>
    <w:p w:rsidR="004D26EA" w:rsidRPr="000919BC" w:rsidRDefault="004D26EA" w:rsidP="004D26EA">
      <w:pPr>
        <w:pStyle w:val="SingleTxt"/>
        <w:spacing w:after="0" w:line="120" w:lineRule="exact"/>
        <w:rPr>
          <w:sz w:val="10"/>
          <w:lang w:val="es-ES_tradnl"/>
        </w:rPr>
      </w:pPr>
    </w:p>
    <w:p w:rsidR="004D26EA" w:rsidRPr="000919BC" w:rsidRDefault="004D26EA" w:rsidP="004D26EA">
      <w:pPr>
        <w:pStyle w:val="SingleTxt"/>
        <w:numPr>
          <w:ilvl w:val="0"/>
          <w:numId w:val="25"/>
        </w:numPr>
        <w:ind w:left="1267"/>
      </w:pPr>
      <w:r w:rsidRPr="000919BC">
        <w:t>En el informe del Secretario General se indica que la situación política y de seguridad en Burundi sigue siendo precaria (</w:t>
      </w:r>
      <w:hyperlink r:id="rId44" w:history="1">
        <w:r w:rsidRPr="000919BC">
          <w:rPr>
            <w:rStyle w:val="Hyperlink"/>
          </w:rPr>
          <w:t>A/71/365/Add.6</w:t>
        </w:r>
      </w:hyperlink>
      <w:r w:rsidRPr="000919BC">
        <w:t xml:space="preserve">, párr. 46). A este respecto, la Comisión Consultiva observa que en la propuesta para la Oficina no se prevé el traslado del Asesor Especial y su oficina de Nueva York a un lugar más cercano a la zona de la misión. En lo que respecta a las formalidades exigidas para la presencia de la Oficina del Asesor Especial en Burundi, se informó a la Comisión, en respuesta a sus preguntas, de que se había preparado un acuerdo sobre el estatuto de la Misión y que este se había presentado a la Misión Permanente de Burundi en Nueva York en junio de 2016, pero que hasta la fecha no se había recibido ninguna respuesta. Se informó además a la Comisión de que los visados necesarios para el despliegue del personal civil de la Oficina en Burundi se estaban recibiendo con mucho retraso. Además, la Comisión recuerda que, en julio de 2016, el Consejo de Seguridad, en su resolución </w:t>
      </w:r>
      <w:hyperlink r:id="rId45" w:history="1">
        <w:r w:rsidRPr="000919BC">
          <w:rPr>
            <w:rStyle w:val="Hyperlink"/>
          </w:rPr>
          <w:t>2303 (2016)</w:t>
        </w:r>
      </w:hyperlink>
      <w:r w:rsidRPr="000919BC">
        <w:t>, autorizó el despliegue de un componente de policía de las Naciones Unidas con un límite máximo de 228 agentes de policía (</w:t>
      </w:r>
      <w:r w:rsidRPr="000919BC">
        <w:rPr>
          <w:i/>
        </w:rPr>
        <w:t>ibid</w:t>
      </w:r>
      <w:r w:rsidRPr="000919BC">
        <w:t>., párr. 55). La propuesta presupuestaria del Secretario General para 2017 no incluye necesidades de recursos relacionadas con ese componente.</w:t>
      </w:r>
    </w:p>
    <w:p w:rsidR="004D26EA" w:rsidRPr="000919BC" w:rsidRDefault="004D26EA" w:rsidP="00600FE0">
      <w:pPr>
        <w:pStyle w:val="SingleTxt"/>
        <w:numPr>
          <w:ilvl w:val="0"/>
          <w:numId w:val="25"/>
        </w:numPr>
        <w:spacing w:line="230" w:lineRule="exact"/>
        <w:ind w:left="1267"/>
      </w:pPr>
      <w:r w:rsidRPr="000919BC">
        <w:t xml:space="preserve">Como en el caso de la Oficina del Enviado Especial para el Yemen (véase el párr. 14) y la Oficina del Enviado Especial para Siria (véase </w:t>
      </w:r>
      <w:hyperlink r:id="rId46" w:history="1">
        <w:r w:rsidRPr="000919BC">
          <w:rPr>
            <w:rStyle w:val="Hyperlink"/>
          </w:rPr>
          <w:t>A/71/595/Add.1</w:t>
        </w:r>
      </w:hyperlink>
      <w:r w:rsidRPr="000919BC">
        <w:t xml:space="preserve">, párr. 26), la Comisión Consultiva reconoce que la Oficina se enfrenta a problemas operacionales y de seguridad que influyen en el ritmo de contratación de personal para las nuevas plazas aprobadas. A este respecto, en respuesta a sus preguntas, se informó a la Comisión de que en ese momento había 29 plazas ocupadas (de la dotación autorizada total de 33 plazas). </w:t>
      </w:r>
      <w:r w:rsidRPr="000919BC">
        <w:rPr>
          <w:b/>
        </w:rPr>
        <w:t>Dadas las circunstancias y teniendo en cuenta el significativo aumento de la plantilla propuesta de la misión (véase el párr. 34), la Comisión Consultiva confía en que la Oficina cubra las plazas propuestas solo cuando sea realista suponer que pueden llevarse a cabo las funciones correspondientes y que se les puede prestar apoyo operacional</w:t>
      </w:r>
      <w:r w:rsidRPr="00C1074D">
        <w:rPr>
          <w:bCs/>
        </w:rPr>
        <w:t>.</w:t>
      </w:r>
    </w:p>
    <w:p w:rsidR="004D26EA" w:rsidRPr="000919BC" w:rsidRDefault="004D26EA" w:rsidP="00600FE0">
      <w:pPr>
        <w:pStyle w:val="SingleTxt"/>
        <w:numPr>
          <w:ilvl w:val="0"/>
          <w:numId w:val="25"/>
        </w:numPr>
        <w:spacing w:line="230" w:lineRule="exact"/>
        <w:ind w:left="1267"/>
      </w:pPr>
      <w:r w:rsidRPr="000919BC">
        <w:t xml:space="preserve">A este respecto, la Comisión Consultiva observa que la propuesta refleja un factor de vacantes del 50% para las nuevas plazas del Cuadro Orgánico y del 35% para las nuevas plazas del Servicio Móvil, del Cuadro de Servicios Generales, de funcionario nacional del Cuadro Orgánico y de contratación local en la estimación de las necesidades de recursos de personal. </w:t>
      </w:r>
      <w:r w:rsidRPr="000919BC">
        <w:rPr>
          <w:b/>
        </w:rPr>
        <w:t>Teniendo en cuenta los factores mencionados, la Comisión Consultiva recomienda que se aplique un factor de vacantes del 70% para todas las nuevas plazas del Cuadro Orgánico que se creen en 2017. Los recursos conexos no relacionados con puestos deberán ajustarse en consecuencia</w:t>
      </w:r>
      <w:r w:rsidRPr="00C1074D">
        <w:rPr>
          <w:bCs/>
        </w:rPr>
        <w:t>.</w:t>
      </w:r>
    </w:p>
    <w:p w:rsidR="004D26EA" w:rsidRPr="000919BC" w:rsidRDefault="004D26EA" w:rsidP="004D26EA">
      <w:pPr>
        <w:pStyle w:val="SingleTxt"/>
        <w:spacing w:after="0" w:line="120" w:lineRule="exact"/>
        <w:rPr>
          <w:sz w:val="10"/>
        </w:rPr>
      </w:pPr>
    </w:p>
    <w:p w:rsidR="004D26EA" w:rsidRPr="000919BC" w:rsidRDefault="004D26EA" w:rsidP="004D2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919BC">
        <w:rPr>
          <w:i/>
        </w:rPr>
        <w:tab/>
      </w:r>
      <w:r w:rsidRPr="000919BC">
        <w:rPr>
          <w:i/>
        </w:rPr>
        <w:tab/>
      </w:r>
      <w:r w:rsidRPr="000919BC">
        <w:t>Propuestas de dotación de personal</w:t>
      </w:r>
    </w:p>
    <w:p w:rsidR="004D26EA" w:rsidRPr="000919BC" w:rsidRDefault="004D26EA" w:rsidP="004D26EA">
      <w:pPr>
        <w:pStyle w:val="SingleTxt"/>
        <w:spacing w:after="0" w:line="120" w:lineRule="exact"/>
        <w:rPr>
          <w:sz w:val="10"/>
        </w:rPr>
      </w:pPr>
    </w:p>
    <w:p w:rsidR="004D26EA" w:rsidRPr="000919BC" w:rsidRDefault="004D26EA" w:rsidP="004D26EA">
      <w:pPr>
        <w:pStyle w:val="SingleTxt"/>
        <w:numPr>
          <w:ilvl w:val="0"/>
          <w:numId w:val="25"/>
        </w:numPr>
        <w:ind w:left="1267"/>
      </w:pPr>
      <w:r w:rsidRPr="000919BC">
        <w:t xml:space="preserve">En lo que respecta a las propuestas de dotación de personal con el fin de aumentar la capacidad sustantiva de la Oficina y, en particular, la propuesta de aumentar su capacidad en Nueva York, el Secretario General propone la creación de tres plazas de Oficial de Asuntos Políticos y una plaza de Auxiliar de Equipos (1 P-4, 2 P-3 y 1 de Servicios Generales (otras categorías)), tres de las cuales estarán ubicadas en la Oficina de Nueva York del Asesor Especial. Se indica que este refuerzo daría apoyo a las tareas relacionadas con la planificación del despliegue de una aportación de fuerzas de policía de las Naciones Unidas, el análisis de la información y el enlace con las oficinas y entidades de las Naciones Unidas en la Sede. Además, se propone que una de las nuevas plazas de categoría P-3 esté ubicada en el Departamento de Asuntos Políticos para proporcionar capacidad en materia de apoyo político a la misión. </w:t>
      </w:r>
    </w:p>
    <w:p w:rsidR="004D26EA" w:rsidRPr="000919BC" w:rsidRDefault="004D26EA" w:rsidP="004D26EA">
      <w:pPr>
        <w:pStyle w:val="SingleTxt"/>
        <w:numPr>
          <w:ilvl w:val="0"/>
          <w:numId w:val="25"/>
        </w:numPr>
        <w:ind w:left="1267"/>
      </w:pPr>
      <w:r w:rsidRPr="000919BC">
        <w:t xml:space="preserve">La Comisión Consultiva observa que actualmente hay cinco plazas creadas para la Oficina de Nueva York del Asesor Especial (1 SGA, 2 P-5, 1 P-4 y 1 de Servicios Generales (otras categorías)). </w:t>
      </w:r>
      <w:r w:rsidRPr="000919BC">
        <w:rPr>
          <w:b/>
        </w:rPr>
        <w:t>La Comisión Consultiva considera que la información que se le ha facilitado no justifica ni explica adecuadamente por qué las funciones que habrán de desempeñarse por medio de las nuevas plazas propuestas no pueden llevarse a cabo con la capacidad existente. La Comisión recomienda que no se apruebe la creación de las cuatro plazas adicionales propuestas para apoyar a la Oficina en Nueva York. Los recursos conexos no relacionados con puestos deberán ajustarse en consecuencia</w:t>
      </w:r>
      <w:r w:rsidRPr="00C1074D">
        <w:rPr>
          <w:bCs/>
        </w:rPr>
        <w:t>.</w:t>
      </w:r>
    </w:p>
    <w:p w:rsidR="004D26EA" w:rsidRPr="000919BC" w:rsidRDefault="004D26EA" w:rsidP="004D26EA">
      <w:pPr>
        <w:pStyle w:val="SingleTxt"/>
        <w:numPr>
          <w:ilvl w:val="0"/>
          <w:numId w:val="25"/>
        </w:numPr>
        <w:ind w:left="1267"/>
      </w:pPr>
      <w:r w:rsidRPr="000919BC">
        <w:t xml:space="preserve">La propuesta del Secretario General incluye la creación de cinco nuevas plazas (1 P-5 y 4 P-4) ubicadas en Burundi para reforzar la Dependencia de Apoyo al Diálogo. La Dependencia cuenta actualmente con cinco plazas (1 D-1, 2 P-5, 1 P-4 y 1 P-3). Está previsto que tres de las cuatro nuevas plazas de categoría P-4 se desplieguen como jefes de oficinas locales fuera de Buyumbura y colaboren con los interesados locales para asegurar que las iniciativas comunitarias se reflejen en el diálogo entre las partes de Burundi. Según el Secretario General, el objetivo de la nueva plaza de Oficial Superior de Asuntos Políticos (P-5) sería coordinar la labor de los funcionarios políticos desplegados en las oficinas locales. </w:t>
      </w:r>
      <w:r w:rsidRPr="000919BC">
        <w:rPr>
          <w:b/>
        </w:rPr>
        <w:t>No obstante, a la Comisión Consultiva no le queda claro por qué esas funciones no pueden ser desempeñadas por el personal superior existente de la Dependencia. La Comisión recomienda que no se apruebe la creación de una plaza de Oficial Superior de Asuntos Políticos de categoría P-5 en la Dependencia de Apoyo al Diálogo. Los recursos conexos no relacionados con puestos deberán ajustarse en consecuencia</w:t>
      </w:r>
      <w:r w:rsidRPr="00C1074D">
        <w:rPr>
          <w:bCs/>
        </w:rPr>
        <w:t>.</w:t>
      </w:r>
    </w:p>
    <w:p w:rsidR="004D26EA" w:rsidRPr="000919BC" w:rsidRDefault="004D26EA" w:rsidP="004D26EA">
      <w:pPr>
        <w:pStyle w:val="SingleTxt"/>
        <w:numPr>
          <w:ilvl w:val="0"/>
          <w:numId w:val="25"/>
        </w:numPr>
        <w:ind w:left="1267"/>
      </w:pPr>
      <w:r w:rsidRPr="000919BC">
        <w:t xml:space="preserve">Además, la propuesta de crear una nueva plaza de Oficial de Protocolo (funcionario nacional del Cuadro Orgánico) que forme parte del personal inmediato del Jefe de Oficina en Burundi para las funciones de protocolo y de enlace con los homólogos nacionales, a juicio de la Comisión Consultiva no resulta convincente, en vista de las circunstancias operacionales imperantes, por ejemplo, el hecho de que el Asesor Especial y otros funcionarios de categoría superior están situados fuera de la zona de la misión. </w:t>
      </w:r>
      <w:r w:rsidRPr="000919BC">
        <w:rPr>
          <w:b/>
        </w:rPr>
        <w:t>La Comisión Consultiva recomienda que no se apruebe la creación de la plaza de Oficial de Protocolo (funcionario nacional del Cuadro Orgánico) en este momento. Los recursos conexos no relacionados con puestos deberán ajustarse en consecuencia</w:t>
      </w:r>
      <w:r w:rsidRPr="00653D97">
        <w:rPr>
          <w:bCs/>
        </w:rPr>
        <w:t>.</w:t>
      </w:r>
    </w:p>
    <w:p w:rsidR="004D26EA" w:rsidRPr="000919BC" w:rsidRDefault="004D26EA" w:rsidP="004D26EA">
      <w:pPr>
        <w:pStyle w:val="SingleTxt"/>
        <w:numPr>
          <w:ilvl w:val="0"/>
          <w:numId w:val="25"/>
        </w:numPr>
        <w:ind w:left="1267"/>
      </w:pPr>
      <w:r w:rsidRPr="000919BC">
        <w:t xml:space="preserve">En el informe del Secretario General también se incluye una propuesta de aumentar el número de funcionarios de la Dependencia de Seguridad y Estado de Derecho en Burundi mediante la creación de cinco nuevas plazas (1 P-5, 2 P-4 y 2 del Servicio Móvil) a fin de mantener contactos con las partes interesadas y prestar asesoramiento sobre la formulación, puesta en marcha y evaluación de las actividades relacionadas con el estado de derecho, de conformidad con las normas internacionales. El personal actual de la Dependencia está compuesto por un Oficial Principal de Reforma del Sector de la Seguridad (D-1) y un Oficial de Estado de Derecho (P-4). Con respecto a la propuesta de crear dos nuevas plazas del Servicio Móvil, se informó a la Comisión Consultiva de que estas desempeñarían funciones de Auxiliar de Equipo y prestarían apoyo administrativo a la Dependencia de Apoyo al Diálogo y la Dependencia de Seguridad y Estado de Derecho. </w:t>
      </w:r>
      <w:r w:rsidRPr="000919BC">
        <w:rPr>
          <w:b/>
        </w:rPr>
        <w:t>La Comisión Consultiva considera que el volumen de trabajo de las dos dependencias no justifica aún la creación de dos plazas de Auxiliar de Equipo. Por lo tanto, la Comisión recomienda que no se apruebe la creación de una de las plazas del Servicio Móvil para la Dependencia de Seguridad y Estado de Derecho. Los recursos conexos no relacionados con puestos deberán ajustarse en consecuencia</w:t>
      </w:r>
      <w:r w:rsidRPr="00653D97">
        <w:rPr>
          <w:bCs/>
        </w:rPr>
        <w:t>.</w:t>
      </w:r>
      <w:r w:rsidRPr="000919BC">
        <w:rPr>
          <w:b/>
        </w:rPr>
        <w:t xml:space="preserve"> </w:t>
      </w:r>
    </w:p>
    <w:p w:rsidR="004D26EA" w:rsidRPr="000919BC" w:rsidRDefault="004D26EA" w:rsidP="004D26EA">
      <w:pPr>
        <w:pStyle w:val="SingleTxt"/>
        <w:numPr>
          <w:ilvl w:val="0"/>
          <w:numId w:val="25"/>
        </w:numPr>
        <w:ind w:left="1267"/>
      </w:pPr>
      <w:r w:rsidRPr="000919BC">
        <w:rPr>
          <w:b/>
        </w:rPr>
        <w:t>Con sujeción a las observaciones y recomendaciones que figuran en los párrafos anteriores, la Comisión Consultiva recomienda que la Asamblea General apruebe las propuestas del Secretario General en relación con la dotación de personal de la Oficina del Asesor Especial sobre la Prevención de Conflictos, en particular en Burundi</w:t>
      </w:r>
      <w:r w:rsidRPr="00653D97">
        <w:rPr>
          <w:bCs/>
        </w:rPr>
        <w:t>.</w:t>
      </w:r>
    </w:p>
    <w:p w:rsidR="004D26EA" w:rsidRPr="000919BC" w:rsidRDefault="004D26EA" w:rsidP="004D26EA">
      <w:pPr>
        <w:pStyle w:val="SingleTxt"/>
        <w:spacing w:after="0" w:line="120" w:lineRule="exact"/>
        <w:rPr>
          <w:sz w:val="10"/>
        </w:rPr>
      </w:pPr>
    </w:p>
    <w:p w:rsidR="004D26EA" w:rsidRPr="000919BC" w:rsidRDefault="004D26EA" w:rsidP="004D26E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0919BC">
        <w:tab/>
      </w:r>
      <w:r w:rsidRPr="000919BC">
        <w:tab/>
        <w:t>Observaciones y recomendaciones sobre los gastos operacionales</w:t>
      </w:r>
    </w:p>
    <w:p w:rsidR="004D26EA" w:rsidRPr="000919BC" w:rsidRDefault="004D26EA" w:rsidP="004D26EA">
      <w:pPr>
        <w:pStyle w:val="SingleTxt"/>
        <w:spacing w:after="0" w:line="120" w:lineRule="exact"/>
        <w:rPr>
          <w:sz w:val="10"/>
        </w:rPr>
      </w:pPr>
    </w:p>
    <w:p w:rsidR="004D26EA" w:rsidRPr="000919BC" w:rsidRDefault="004D26EA" w:rsidP="004D26EA">
      <w:pPr>
        <w:pStyle w:val="SingleTxt"/>
        <w:numPr>
          <w:ilvl w:val="0"/>
          <w:numId w:val="25"/>
        </w:numPr>
        <w:ind w:left="1267"/>
      </w:pPr>
      <w:r w:rsidRPr="000919BC">
        <w:t>Los recursos propuestos para los gastos operacionales de la Oficina del Asesor Especial ascienden a 6.372.000 dólares, lo que supone un aumento de 1.811.100 dólares respecto de la consignación para 2016 (véase el cuadro 5). Los principales aumentos entre las necesidades propuestas para 2017 y los recursos aprobados corresponden a las partidas de consultores (254.000 dólares), viajes oficiales (384.900 dólares) y tecnología de la información (346.700 dólares).</w:t>
      </w:r>
    </w:p>
    <w:p w:rsidR="004D26EA" w:rsidRPr="000919BC" w:rsidRDefault="004D26EA" w:rsidP="00600FE0">
      <w:pPr>
        <w:pStyle w:val="SingleTxt"/>
        <w:numPr>
          <w:ilvl w:val="0"/>
          <w:numId w:val="25"/>
        </w:numPr>
        <w:spacing w:line="236" w:lineRule="exact"/>
        <w:ind w:left="1267"/>
      </w:pPr>
      <w:r w:rsidRPr="000919BC">
        <w:t>Se propone un monto de 1.797.000 dólares para sufragar gastos de viaje relacionados con las visitas del Asesor Especial y su personal a los interesados de la región y asegurar su participación en todas las rondas de diálogo oficial entre las partes, incluidas las visitas a la Sede, que resulten necesarias. Esta suma también incluye recursos para viajes con fines de capacitación por valor de 178.300 dólares. En respuesta a su solicitud, se proporcionó a la Comisión Consultiva un desglose de las actividades de capacitación propuestas y los gastos de viaje conexos para cursos específicos. En cuanto a la capacitación para el personal de las dependencias sustantivas, la mayoría de los cursos propuestos se celebrarían en Ginebra o Nueva York, y su objetivo sería mejorar las competencias de los funcionarios internacionales en esferas como el liderazgo, la gestión, los procesos de paz y el estado de derecho. En el caso de la capacitación propuesta para el personal de apoyo de la misión, los cursos generalmente tendrían lugar en Entebbe (Uganda) y tratarían sobre temas técnicos relacionados con el apoyo a la misión.</w:t>
      </w:r>
    </w:p>
    <w:p w:rsidR="004D26EA" w:rsidRPr="000919BC" w:rsidRDefault="004D26EA" w:rsidP="00600FE0">
      <w:pPr>
        <w:pStyle w:val="SingleTxt"/>
        <w:numPr>
          <w:ilvl w:val="0"/>
          <w:numId w:val="25"/>
        </w:numPr>
        <w:spacing w:line="236" w:lineRule="exact"/>
        <w:ind w:left="1267"/>
        <w:rPr>
          <w:bCs/>
        </w:rPr>
      </w:pPr>
      <w:r w:rsidRPr="000919BC">
        <w:rPr>
          <w:b/>
        </w:rPr>
        <w:t>Si bien la Comisión Consultiva reconoce los beneficios de la capacitación inicial y el ulterior perfeccionamiento de las competencias, considera que la propuesta de capacitar a la mayor parte de los funcionarios internacionales a fin de que adquieran competencias para los puestos para los que acaban de ser contratados indica una deficiencia en los procesos de selección de personal de la Oficina. Por consiguiente, la Comisión recomienda una reducción de un 20%, o 36.000 dólares, en los recursos propuestos para sufragar los viajes con fines de capacitación</w:t>
      </w:r>
      <w:r w:rsidRPr="00653D97">
        <w:rPr>
          <w:bCs/>
        </w:rPr>
        <w:t>.</w:t>
      </w:r>
    </w:p>
    <w:p w:rsidR="004D26EA" w:rsidRPr="000919BC" w:rsidRDefault="004D26EA" w:rsidP="00600FE0">
      <w:pPr>
        <w:pStyle w:val="SingleTxt"/>
        <w:numPr>
          <w:ilvl w:val="0"/>
          <w:numId w:val="25"/>
        </w:numPr>
        <w:spacing w:line="236" w:lineRule="exact"/>
        <w:ind w:left="1267"/>
        <w:rPr>
          <w:bCs/>
        </w:rPr>
      </w:pPr>
      <w:r w:rsidRPr="000919BC">
        <w:t xml:space="preserve">La Comisión Consultiva también solicitó un desglose de los viajes realizados en 2016 y los viajes previstos para 2017, pero no recibió una respuesta satisfactoria. </w:t>
      </w:r>
      <w:r w:rsidRPr="000919BC">
        <w:rPr>
          <w:b/>
        </w:rPr>
        <w:t>Teniendo en cuenta la magnitud de las necesidades de recursos que se proponen para viajes oficiales, la Comisión Consultiva reitera lo que ha expresado en numerosas oportunidades, que los recursos para viajes deben utilizarse con prudencia y, en particular, que la consideración primordial para autorizar viajes oficiales debería ser que el contacto directo y en persona sea indispensable para la ejecución del mandato. La Comisión también reitera la importancia de la reserva anticipada de pasajes y el uso de</w:t>
      </w:r>
      <w:r w:rsidRPr="000919BC">
        <w:t xml:space="preserve"> </w:t>
      </w:r>
      <w:r w:rsidRPr="000919BC">
        <w:rPr>
          <w:b/>
        </w:rPr>
        <w:t xml:space="preserve">la capacidad de videoconferencia, en la mayor medida posible, como un medio para limitar los gastos de viaje (véase también </w:t>
      </w:r>
      <w:hyperlink r:id="rId47" w:history="1">
        <w:r w:rsidRPr="000919BC">
          <w:rPr>
            <w:rStyle w:val="Hyperlink"/>
            <w:b/>
          </w:rPr>
          <w:t>A/70/7</w:t>
        </w:r>
      </w:hyperlink>
      <w:r w:rsidRPr="000919BC">
        <w:rPr>
          <w:b/>
        </w:rPr>
        <w:t>, párrs. 104 y 108)</w:t>
      </w:r>
      <w:r w:rsidRPr="00653D97">
        <w:rPr>
          <w:bCs/>
        </w:rPr>
        <w:t>.</w:t>
      </w:r>
    </w:p>
    <w:p w:rsidR="004D26EA" w:rsidRPr="000919BC" w:rsidRDefault="004D26EA" w:rsidP="00600FE0">
      <w:pPr>
        <w:pStyle w:val="SingleTxt"/>
        <w:numPr>
          <w:ilvl w:val="0"/>
          <w:numId w:val="25"/>
        </w:numPr>
        <w:spacing w:line="236" w:lineRule="exact"/>
        <w:ind w:left="1267"/>
      </w:pPr>
      <w:r w:rsidRPr="009257F1">
        <w:rPr>
          <w:spacing w:val="2"/>
        </w:rPr>
        <w:t>En lo que respecta a los consultores, el Secretario General propone recursos por valor de 370.600 dólares para sufragar los servicios de seis consultores externos en 2017, lo que representa el triple de los recursos autorizados para consultores en 2016. En respuesta a sus preguntas, se informó a la Comisión Consultiva de que los consultores proporcionarían a) conocimientos especializados y técnicos y asesoramiento sustantivo sobre cuestiones constitucionales y jurídicas relacionadas con metodologías de diálogo y mediación; b) conocimientos especializados sobre los modelos de gobernanza, la separación de poderes y las cuestiones relativas a las minorías; c) asesoramiento sobre las esferas técnicas relativas al estado de derecho en Burundi, incluidos el poder judicial, la policía y las instituciones penitenciarias; y d) asistencia sobre el sector de la seguridad en Burundi, en particular en las esferas de la rendición de cuentas, la integridad y los derechos humanos</w:t>
      </w:r>
      <w:r w:rsidRPr="000919BC">
        <w:t>.</w:t>
      </w:r>
    </w:p>
    <w:p w:rsidR="004D26EA" w:rsidRPr="009257F1" w:rsidRDefault="004D26EA" w:rsidP="00600FE0">
      <w:pPr>
        <w:pStyle w:val="SingleTxt"/>
        <w:numPr>
          <w:ilvl w:val="0"/>
          <w:numId w:val="25"/>
        </w:numPr>
        <w:spacing w:line="236" w:lineRule="exact"/>
        <w:ind w:left="1267"/>
        <w:rPr>
          <w:bCs/>
          <w:spacing w:val="2"/>
        </w:rPr>
      </w:pPr>
      <w:r w:rsidRPr="009257F1">
        <w:rPr>
          <w:b/>
          <w:spacing w:val="2"/>
        </w:rPr>
        <w:t>La Comisión Consultiva considera que la capacidad o los conocimientos especializados que se requieren para la mayoría de los servicios solicitados ya deberían existir en la Secretaría, incluso, por ejemplo, dentro de la Dependencia de Apoyo a la Mediación del Departamento de Asuntos Políticos y la Oficina del Estado de Derecho y las Instituciones de Seguridad del Departamento de Operaciones de Mantenimiento de la Paz. Además, la Oficina ya tiene personal con capacidad en esas esferas específicas u obtendrá dicha capacidad con las plazas conexas que se propone crear. Por lo tanto, la Comisión cree que la propuesta relativa a consultores es excesiva y recomienda una reducción del 50%, o 180.000 dólares, en los recursos solicitados para este fin</w:t>
      </w:r>
      <w:r w:rsidRPr="009257F1">
        <w:rPr>
          <w:bCs/>
          <w:spacing w:val="2"/>
        </w:rPr>
        <w:t>.</w:t>
      </w:r>
    </w:p>
    <w:p w:rsidR="004D26EA" w:rsidRPr="000919BC" w:rsidRDefault="004D26EA" w:rsidP="004D26EA">
      <w:pPr>
        <w:pStyle w:val="SingleTxt"/>
        <w:numPr>
          <w:ilvl w:val="0"/>
          <w:numId w:val="25"/>
        </w:numPr>
        <w:ind w:left="1267"/>
        <w:rPr>
          <w:bCs/>
        </w:rPr>
      </w:pPr>
      <w:r w:rsidRPr="000919BC">
        <w:rPr>
          <w:b/>
        </w:rPr>
        <w:t>Con sujeción a las observaciones y recomendaciones que figuran en los párrafos anteriores, la Comisión Consultiva recomienda que se aprueben las propuestas del Secretario General para los gastos operacionales</w:t>
      </w:r>
      <w:r w:rsidRPr="00653D97">
        <w:rPr>
          <w:bCs/>
        </w:rPr>
        <w:t>.</w:t>
      </w:r>
    </w:p>
    <w:p w:rsidR="004D26EA" w:rsidRPr="000919BC" w:rsidRDefault="004D26EA" w:rsidP="004D26EA">
      <w:pPr>
        <w:pStyle w:val="SingleTxt"/>
        <w:spacing w:after="0" w:line="120" w:lineRule="exact"/>
        <w:rPr>
          <w:sz w:val="10"/>
        </w:rPr>
      </w:pPr>
    </w:p>
    <w:p w:rsidR="004D26EA" w:rsidRPr="000919BC" w:rsidRDefault="004D26EA" w:rsidP="004D26EA">
      <w:pPr>
        <w:pStyle w:val="SingleTxt"/>
        <w:spacing w:after="0" w:line="120" w:lineRule="exact"/>
        <w:rPr>
          <w:sz w:val="10"/>
        </w:rPr>
      </w:pPr>
    </w:p>
    <w:p w:rsidR="004D26EA" w:rsidRPr="000919BC" w:rsidRDefault="004D26EA" w:rsidP="004D26E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tLeast"/>
        <w:ind w:left="1267" w:right="1260" w:hanging="1267"/>
      </w:pPr>
      <w:r w:rsidRPr="000919BC">
        <w:tab/>
        <w:t>III.</w:t>
      </w:r>
      <w:r w:rsidRPr="000919BC">
        <w:tab/>
        <w:t>Recomendación</w:t>
      </w:r>
    </w:p>
    <w:p w:rsidR="004D26EA" w:rsidRPr="000919BC" w:rsidRDefault="004D26EA" w:rsidP="004D26EA">
      <w:pPr>
        <w:pStyle w:val="SingleTxt"/>
        <w:spacing w:after="0" w:line="120" w:lineRule="exact"/>
        <w:rPr>
          <w:sz w:val="10"/>
        </w:rPr>
      </w:pPr>
    </w:p>
    <w:p w:rsidR="004D26EA" w:rsidRPr="000919BC" w:rsidRDefault="004D26EA" w:rsidP="004D26EA">
      <w:pPr>
        <w:pStyle w:val="SingleTxt"/>
        <w:spacing w:after="0" w:line="120" w:lineRule="exact"/>
        <w:rPr>
          <w:sz w:val="10"/>
        </w:rPr>
      </w:pPr>
    </w:p>
    <w:p w:rsidR="004D26EA" w:rsidRPr="000919BC" w:rsidRDefault="004D26EA" w:rsidP="004D26EA">
      <w:pPr>
        <w:pStyle w:val="SingleTxt"/>
        <w:numPr>
          <w:ilvl w:val="0"/>
          <w:numId w:val="25"/>
        </w:numPr>
        <w:ind w:left="1267"/>
      </w:pPr>
      <w:r w:rsidRPr="000919BC">
        <w:t>Las propuestas presupuestarias del Secretario General para la Oficina del Enviado Especial del Secretario General para el Yemen y la Oficina del Asesor Especial del Secretario General sobre la Prevención de Conflictos, en particular en Burundi para 2017 se indican en el párrafo 88 del informe conexo del Secretario General (</w:t>
      </w:r>
      <w:hyperlink r:id="rId48" w:history="1">
        <w:r w:rsidRPr="000919BC">
          <w:rPr>
            <w:rStyle w:val="Hyperlink"/>
          </w:rPr>
          <w:t>A/71/365/Add.6</w:t>
        </w:r>
      </w:hyperlink>
      <w:r w:rsidRPr="000919BC">
        <w:t>). Los recursos necesarios para esas misiones se presentaron por separado a fin de reflejar los últimos acontecimientos sobre el terreno (</w:t>
      </w:r>
      <w:hyperlink r:id="rId49" w:history="1">
        <w:r w:rsidRPr="000919BC">
          <w:rPr>
            <w:rStyle w:val="Hyperlink"/>
          </w:rPr>
          <w:t>A/71/365</w:t>
        </w:r>
      </w:hyperlink>
      <w:r w:rsidRPr="000919BC">
        <w:t xml:space="preserve">, párr. 18), así como las decisiones conexas más recientes del Consejo de Seguridad relativas a ambas misiones. </w:t>
      </w:r>
    </w:p>
    <w:p w:rsidR="004D26EA" w:rsidRPr="000919BC" w:rsidRDefault="004D26EA" w:rsidP="004D26EA">
      <w:pPr>
        <w:pStyle w:val="SingleTxt"/>
        <w:numPr>
          <w:ilvl w:val="0"/>
          <w:numId w:val="25"/>
        </w:numPr>
        <w:ind w:left="1267"/>
        <w:rPr>
          <w:bCs/>
        </w:rPr>
      </w:pPr>
      <w:r w:rsidRPr="000919BC">
        <w:rPr>
          <w:b/>
        </w:rPr>
        <w:t>Con sujeción a las recomendaciones que figuran en los párrafos anteriores y a las recomendaciones que figuran en su informe principal (</w:t>
      </w:r>
      <w:hyperlink r:id="rId50" w:history="1">
        <w:r w:rsidRPr="000919BC">
          <w:rPr>
            <w:rStyle w:val="Hyperlink"/>
            <w:b/>
          </w:rPr>
          <w:t>A/71/595</w:t>
        </w:r>
      </w:hyperlink>
      <w:r w:rsidRPr="000919BC">
        <w:rPr>
          <w:b/>
        </w:rPr>
        <w:t>), la Comisión Consultiva recomienda que se apruebe la propuesta del Secretario General sobre las necesidades de recursos para 2017 en relación con estas dos misiones políticas especiales del grupo temático I</w:t>
      </w:r>
      <w:r w:rsidRPr="00653D97">
        <w:rPr>
          <w:bCs/>
        </w:rPr>
        <w:t>.</w:t>
      </w:r>
    </w:p>
    <w:p w:rsidR="004D26EA" w:rsidRPr="000919BC" w:rsidRDefault="004D26EA" w:rsidP="004D26EA">
      <w:pPr>
        <w:pStyle w:val="SingleTxt"/>
        <w:numPr>
          <w:ilvl w:val="0"/>
          <w:numId w:val="25"/>
        </w:numPr>
        <w:ind w:left="1267"/>
        <w:rPr>
          <w:bCs/>
        </w:rPr>
      </w:pPr>
      <w:r w:rsidRPr="000919BC">
        <w:rPr>
          <w:b/>
        </w:rPr>
        <w:t>La Comisión Consultiva recomienda que la Asamblea General:</w:t>
      </w:r>
    </w:p>
    <w:p w:rsidR="004D26EA" w:rsidRPr="000919BC" w:rsidRDefault="004D26EA" w:rsidP="004D26EA">
      <w:pPr>
        <w:pStyle w:val="SingleTxt"/>
        <w:rPr>
          <w:b/>
        </w:rPr>
      </w:pPr>
      <w:r w:rsidRPr="000919BC">
        <w:rPr>
          <w:b/>
        </w:rPr>
        <w:tab/>
        <w:t>a)</w:t>
      </w:r>
      <w:r w:rsidRPr="000919BC">
        <w:rPr>
          <w:b/>
        </w:rPr>
        <w:tab/>
        <w:t xml:space="preserve">Apruebe los presupuestos para 2017 de la Oficina del Enviado Especial del Secretario General para el Yemen y de la Oficina del Asesor Especial del Secretario General sobre la Prevención de Conflictos, en particular en Burundi, que ascienden a 25.100.300 dólares, deducidas las contribuciones del personal; </w:t>
      </w:r>
    </w:p>
    <w:p w:rsidR="004D26EA" w:rsidRPr="000919BC" w:rsidRDefault="004D26EA" w:rsidP="004D26EA">
      <w:pPr>
        <w:pStyle w:val="SingleTxt"/>
        <w:rPr>
          <w:b/>
        </w:rPr>
      </w:pPr>
      <w:r w:rsidRPr="000919BC">
        <w:rPr>
          <w:b/>
        </w:rPr>
        <w:tab/>
        <w:t>b)</w:t>
      </w:r>
      <w:r w:rsidRPr="000919BC">
        <w:rPr>
          <w:b/>
        </w:rPr>
        <w:tab/>
        <w:t xml:space="preserve">Consigne, con arreglo a los procedimientos establecidos en el párrafo 11 del anexo I de la resolución </w:t>
      </w:r>
      <w:hyperlink r:id="rId51" w:history="1">
        <w:r w:rsidRPr="000919BC">
          <w:rPr>
            <w:rStyle w:val="Hyperlink"/>
            <w:b/>
          </w:rPr>
          <w:t>41/213</w:t>
        </w:r>
      </w:hyperlink>
      <w:r w:rsidRPr="000919BC">
        <w:rPr>
          <w:b/>
        </w:rPr>
        <w:t>, una suma adicional de 26.071.600 dólares (deducidas las contribuciones del personal) en la sección 3 (Asuntos políticos) del presupuesto por programas para el bienio 2016-2017, después de tener en cuenta el exceso de gastos correspondiente a 2016, por valor de 971.300 dólares;</w:t>
      </w:r>
    </w:p>
    <w:p w:rsidR="004D26EA" w:rsidRPr="000919BC" w:rsidRDefault="004D26EA" w:rsidP="004D26EA">
      <w:pPr>
        <w:pStyle w:val="SingleTxt"/>
        <w:rPr>
          <w:b/>
        </w:rPr>
      </w:pPr>
      <w:r w:rsidRPr="000919BC">
        <w:rPr>
          <w:b/>
        </w:rPr>
        <w:tab/>
        <w:t>c)</w:t>
      </w:r>
      <w:r w:rsidRPr="000919BC">
        <w:rPr>
          <w:b/>
        </w:rPr>
        <w:tab/>
        <w:t>Consigne la suma de 1.834.800 dólares en la sección 36 (Contribuciones del personal), que se compensará con un monto equivalente en la sección 1 de ingresos (Ingresos en concepto de contribuciones del personal) del presupuesto por programas correspondiente al bienio 2016-2017</w:t>
      </w:r>
      <w:r w:rsidRPr="00653D97">
        <w:rPr>
          <w:bCs/>
        </w:rPr>
        <w:t>.</w:t>
      </w:r>
    </w:p>
    <w:p w:rsidR="0056638E" w:rsidRPr="00600FE0" w:rsidRDefault="004D26EA" w:rsidP="00AD6904">
      <w:pPr>
        <w:pStyle w:val="SingleTxt"/>
        <w:rPr>
          <w:lang w:val="es-ES_tradnl"/>
        </w:rPr>
      </w:pPr>
      <w:r>
        <w:rPr>
          <w:noProof/>
          <w:w w:val="100"/>
          <w:lang w:val="en-US" w:eastAsia="zh-CN"/>
        </w:rPr>
        <mc:AlternateContent>
          <mc:Choice Requires="wps">
            <w:drawing>
              <wp:anchor distT="0" distB="0" distL="114300" distR="114300" simplePos="0" relativeHeight="251659264" behindDoc="0" locked="0" layoutInCell="1" allowOverlap="1" wp14:anchorId="747641E1" wp14:editId="77CA39B3">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6638E" w:rsidRPr="00600FE0" w:rsidSect="00BD1ED6">
      <w:endnotePr>
        <w:numFmt w:val="decimal"/>
      </w:endnotePr>
      <w:type w:val="continuous"/>
      <w:pgSz w:w="12240" w:h="15840"/>
      <w:pgMar w:top="1742" w:right="1200" w:bottom="2261" w:left="1200"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12-12T16:19:00Z" w:initials="Start">
    <w:p w:rsidR="004D26EA" w:rsidRPr="00AD6904" w:rsidRDefault="004D26EA">
      <w:pPr>
        <w:pStyle w:val="CommentText"/>
        <w:rPr>
          <w:lang w:val="en-US"/>
        </w:rPr>
      </w:pPr>
      <w:r>
        <w:fldChar w:fldCharType="begin"/>
      </w:r>
      <w:r w:rsidRPr="00AD6904">
        <w:rPr>
          <w:rStyle w:val="CommentReference"/>
          <w:lang w:val="en-US"/>
        </w:rPr>
        <w:instrText xml:space="preserve"> </w:instrText>
      </w:r>
      <w:r w:rsidRPr="00AD6904">
        <w:rPr>
          <w:lang w:val="en-US"/>
        </w:rPr>
        <w:instrText>PAGE \# "'Page: '#'</w:instrText>
      </w:r>
      <w:r w:rsidRPr="00AD6904">
        <w:rPr>
          <w:lang w:val="en-US"/>
        </w:rPr>
        <w:br/>
        <w:instrText>'"</w:instrText>
      </w:r>
      <w:r w:rsidRPr="00AD6904">
        <w:rPr>
          <w:rStyle w:val="CommentReference"/>
          <w:lang w:val="en-US"/>
        </w:rPr>
        <w:instrText xml:space="preserve"> </w:instrText>
      </w:r>
      <w:r>
        <w:fldChar w:fldCharType="end"/>
      </w:r>
      <w:r>
        <w:rPr>
          <w:rStyle w:val="CommentReference"/>
        </w:rPr>
        <w:annotationRef/>
      </w:r>
      <w:r w:rsidRPr="00AD6904">
        <w:rPr>
          <w:lang w:val="en-US"/>
        </w:rPr>
        <w:t>&lt;&lt;ODS JOB NO&gt;&gt;N1643209S&lt;&lt;ODS JOB NO&gt;&gt;</w:t>
      </w:r>
    </w:p>
    <w:p w:rsidR="004D26EA" w:rsidRPr="00AD6904" w:rsidRDefault="004D26EA">
      <w:pPr>
        <w:pStyle w:val="CommentText"/>
        <w:rPr>
          <w:lang w:val="en-US"/>
        </w:rPr>
      </w:pPr>
      <w:r w:rsidRPr="00AD6904">
        <w:rPr>
          <w:lang w:val="en-US"/>
        </w:rPr>
        <w:t>&lt;&lt;ODS DOC SYMBOL1&gt;&gt;A/71/595/Add.6&lt;&lt;ODS DOC SYMBOL1&gt;&gt;</w:t>
      </w:r>
    </w:p>
    <w:p w:rsidR="004D26EA" w:rsidRPr="00AD6904" w:rsidRDefault="004D26EA">
      <w:pPr>
        <w:pStyle w:val="CommentText"/>
        <w:rPr>
          <w:lang w:val="en-US"/>
        </w:rPr>
      </w:pPr>
      <w:r w:rsidRPr="00AD6904">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6EA" w:rsidRDefault="004D26EA" w:rsidP="00556720">
      <w:r>
        <w:separator/>
      </w:r>
    </w:p>
  </w:endnote>
  <w:endnote w:type="continuationSeparator" w:id="0">
    <w:p w:rsidR="004D26EA" w:rsidRDefault="004D26E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D26EA" w:rsidTr="005E32C1">
      <w:tc>
        <w:tcPr>
          <w:tcW w:w="5028" w:type="dxa"/>
          <w:shd w:val="clear" w:color="auto" w:fill="auto"/>
        </w:tcPr>
        <w:p w:rsidR="004D26EA" w:rsidRPr="005E32C1" w:rsidRDefault="004D26EA" w:rsidP="005E32C1">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26149">
            <w:rPr>
              <w:b w:val="0"/>
              <w:color w:val="000000"/>
              <w:w w:val="103"/>
              <w:sz w:val="14"/>
            </w:rPr>
            <w:t>16-20648</w:t>
          </w:r>
          <w:r>
            <w:rPr>
              <w:b w:val="0"/>
              <w:color w:val="000000"/>
              <w:w w:val="103"/>
              <w:sz w:val="14"/>
            </w:rPr>
            <w:fldChar w:fldCharType="end"/>
          </w:r>
        </w:p>
      </w:tc>
      <w:tc>
        <w:tcPr>
          <w:tcW w:w="5028" w:type="dxa"/>
          <w:shd w:val="clear" w:color="auto" w:fill="auto"/>
        </w:tcPr>
        <w:p w:rsidR="004D26EA" w:rsidRPr="005E32C1" w:rsidRDefault="004D26EA" w:rsidP="005E32C1">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365523">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365523">
            <w:rPr>
              <w:color w:val="000000"/>
              <w:w w:val="103"/>
            </w:rPr>
            <w:t>2</w:t>
          </w:r>
          <w:r>
            <w:rPr>
              <w:color w:val="000000"/>
              <w:w w:val="103"/>
            </w:rPr>
            <w:fldChar w:fldCharType="end"/>
          </w:r>
        </w:p>
      </w:tc>
    </w:tr>
  </w:tbl>
  <w:p w:rsidR="004D26EA" w:rsidRPr="005E32C1" w:rsidRDefault="004D26EA" w:rsidP="005E3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4D26EA" w:rsidTr="005E32C1">
      <w:tc>
        <w:tcPr>
          <w:tcW w:w="5028" w:type="dxa"/>
          <w:shd w:val="clear" w:color="auto" w:fill="auto"/>
        </w:tcPr>
        <w:p w:rsidR="004D26EA" w:rsidRPr="005E32C1" w:rsidRDefault="004D26EA" w:rsidP="005E32C1">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926149">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926149">
            <w:rPr>
              <w:color w:val="000000"/>
              <w:w w:val="103"/>
            </w:rPr>
            <w:t>20</w:t>
          </w:r>
          <w:r>
            <w:rPr>
              <w:color w:val="000000"/>
              <w:w w:val="103"/>
            </w:rPr>
            <w:fldChar w:fldCharType="end"/>
          </w:r>
        </w:p>
      </w:tc>
      <w:tc>
        <w:tcPr>
          <w:tcW w:w="5028" w:type="dxa"/>
          <w:shd w:val="clear" w:color="auto" w:fill="auto"/>
        </w:tcPr>
        <w:p w:rsidR="004D26EA" w:rsidRPr="005E32C1" w:rsidRDefault="004D26EA" w:rsidP="005E32C1">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926149">
            <w:rPr>
              <w:b w:val="0"/>
              <w:color w:val="000000"/>
              <w:w w:val="103"/>
              <w:sz w:val="14"/>
            </w:rPr>
            <w:t>16-20648</w:t>
          </w:r>
          <w:r>
            <w:rPr>
              <w:b w:val="0"/>
              <w:color w:val="000000"/>
              <w:w w:val="103"/>
              <w:sz w:val="14"/>
            </w:rPr>
            <w:fldChar w:fldCharType="end"/>
          </w:r>
        </w:p>
      </w:tc>
    </w:tr>
  </w:tbl>
  <w:p w:rsidR="004D26EA" w:rsidRPr="005E32C1" w:rsidRDefault="004D26EA" w:rsidP="005E32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6EA" w:rsidRPr="005E32C1" w:rsidRDefault="004D26EA" w:rsidP="005E32C1">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5B034B6D" wp14:editId="287188AA">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A/71/595/Add.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71/595/Add.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4D26EA" w:rsidTr="005E32C1">
      <w:tc>
        <w:tcPr>
          <w:tcW w:w="3830" w:type="dxa"/>
        </w:tcPr>
        <w:p w:rsidR="004D26EA" w:rsidRDefault="004D26EA" w:rsidP="005E32C1">
          <w:pPr>
            <w:pStyle w:val="ReleaseDate"/>
          </w:pPr>
          <w:r>
            <w:t>16-20648 (S)    121216    131216</w:t>
          </w:r>
        </w:p>
        <w:p w:rsidR="004D26EA" w:rsidRPr="005E32C1" w:rsidRDefault="004D26EA" w:rsidP="005E32C1">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*1620648*</w:t>
          </w:r>
        </w:p>
      </w:tc>
      <w:tc>
        <w:tcPr>
          <w:tcW w:w="5028" w:type="dxa"/>
        </w:tcPr>
        <w:p w:rsidR="004D26EA" w:rsidRDefault="004D26EA" w:rsidP="005E32C1">
          <w:pPr>
            <w:pStyle w:val="Footer"/>
            <w:jc w:val="right"/>
            <w:rPr>
              <w:b w:val="0"/>
              <w:sz w:val="20"/>
            </w:rPr>
          </w:pPr>
          <w:r>
            <w:rPr>
              <w:b w:val="0"/>
              <w:sz w:val="20"/>
              <w:lang w:eastAsia="zh-CN"/>
            </w:rPr>
            <w:drawing>
              <wp:inline distT="0" distB="0" distL="0" distR="0" wp14:anchorId="2694A319" wp14:editId="2F41B88B">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4D26EA" w:rsidRPr="005E32C1" w:rsidRDefault="004D26EA" w:rsidP="005E32C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6EA" w:rsidRPr="00D07300" w:rsidRDefault="004D26EA" w:rsidP="00D07300">
      <w:pPr>
        <w:pStyle w:val="Footer"/>
        <w:spacing w:after="80"/>
        <w:ind w:left="792"/>
        <w:rPr>
          <w:sz w:val="16"/>
        </w:rPr>
      </w:pPr>
      <w:r w:rsidRPr="00D07300">
        <w:rPr>
          <w:sz w:val="16"/>
        </w:rPr>
        <w:t>__________________</w:t>
      </w:r>
    </w:p>
  </w:footnote>
  <w:footnote w:type="continuationSeparator" w:id="0">
    <w:p w:rsidR="004D26EA" w:rsidRPr="00D07300" w:rsidRDefault="004D26EA" w:rsidP="00D07300">
      <w:pPr>
        <w:pStyle w:val="Footer"/>
        <w:spacing w:after="80"/>
        <w:ind w:left="792"/>
        <w:rPr>
          <w:sz w:val="16"/>
        </w:rPr>
      </w:pPr>
      <w:r w:rsidRPr="00D07300">
        <w:rPr>
          <w:sz w:val="16"/>
        </w:rPr>
        <w:t>__________________</w:t>
      </w:r>
    </w:p>
  </w:footnote>
  <w:footnote w:id="1">
    <w:p w:rsidR="004D26EA" w:rsidRDefault="004D26EA" w:rsidP="00D073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D07300">
        <w:t>El Secretario General explica el motivo por el que se presentó una adición separada en el párrafo 18 de su informe principal sobre las estimaciones respecto de misiones políticas especiales, buenos oficios y otras iniciativas políticas autorizadas por la Asamblea General o por el Consejo de Seguridad (</w:t>
      </w:r>
      <w:hyperlink r:id="rId1" w:history="1">
        <w:r w:rsidRPr="006459B3">
          <w:rPr>
            <w:rStyle w:val="Hyperlink"/>
          </w:rPr>
          <w:t>A/71/365</w:t>
        </w:r>
      </w:hyperlink>
      <w:r w:rsidRPr="00D07300">
        <w:t>, párr. 18).</w:t>
      </w:r>
    </w:p>
  </w:footnote>
  <w:footnote w:id="2">
    <w:p w:rsidR="004D26EA" w:rsidRDefault="004D26EA" w:rsidP="00435C1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435C1A">
        <w:t>Incluye las 24 plazas financiadas en 2016 con arreglo a una autorización para contraer compromisos de gastos aprobada por la Comisión Consultiva (véase el párr.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D26EA" w:rsidTr="005E32C1">
      <w:trPr>
        <w:trHeight w:hRule="exact" w:val="864"/>
      </w:trPr>
      <w:tc>
        <w:tcPr>
          <w:tcW w:w="4838" w:type="dxa"/>
          <w:shd w:val="clear" w:color="auto" w:fill="auto"/>
          <w:vAlign w:val="bottom"/>
        </w:tcPr>
        <w:p w:rsidR="004D26EA" w:rsidRPr="005E32C1" w:rsidRDefault="004D26EA" w:rsidP="005E32C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26149">
            <w:rPr>
              <w:b/>
              <w:color w:val="000000"/>
            </w:rPr>
            <w:t>A/71/595/Add.6</w:t>
          </w:r>
          <w:r>
            <w:rPr>
              <w:b/>
              <w:color w:val="000000"/>
            </w:rPr>
            <w:fldChar w:fldCharType="end"/>
          </w:r>
        </w:p>
      </w:tc>
      <w:tc>
        <w:tcPr>
          <w:tcW w:w="5028" w:type="dxa"/>
          <w:shd w:val="clear" w:color="auto" w:fill="auto"/>
          <w:vAlign w:val="bottom"/>
        </w:tcPr>
        <w:p w:rsidR="004D26EA" w:rsidRDefault="004D26EA" w:rsidP="005E32C1">
          <w:pPr>
            <w:pStyle w:val="Header"/>
          </w:pPr>
        </w:p>
      </w:tc>
    </w:tr>
  </w:tbl>
  <w:p w:rsidR="004D26EA" w:rsidRPr="005E32C1" w:rsidRDefault="004D26EA" w:rsidP="005E32C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4D26EA" w:rsidTr="005E32C1">
      <w:trPr>
        <w:trHeight w:hRule="exact" w:val="864"/>
      </w:trPr>
      <w:tc>
        <w:tcPr>
          <w:tcW w:w="4838" w:type="dxa"/>
          <w:shd w:val="clear" w:color="auto" w:fill="auto"/>
          <w:vAlign w:val="bottom"/>
        </w:tcPr>
        <w:p w:rsidR="004D26EA" w:rsidRDefault="004D26EA" w:rsidP="005E32C1">
          <w:pPr>
            <w:pStyle w:val="Header"/>
          </w:pPr>
        </w:p>
      </w:tc>
      <w:tc>
        <w:tcPr>
          <w:tcW w:w="5028" w:type="dxa"/>
          <w:shd w:val="clear" w:color="auto" w:fill="auto"/>
          <w:vAlign w:val="bottom"/>
        </w:tcPr>
        <w:p w:rsidR="004D26EA" w:rsidRPr="005E32C1" w:rsidRDefault="004D26EA" w:rsidP="005E32C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926149">
            <w:rPr>
              <w:b/>
              <w:color w:val="000000"/>
            </w:rPr>
            <w:t>A/71/595/Add.6</w:t>
          </w:r>
          <w:r>
            <w:rPr>
              <w:b/>
              <w:color w:val="000000"/>
            </w:rPr>
            <w:fldChar w:fldCharType="end"/>
          </w:r>
        </w:p>
      </w:tc>
    </w:tr>
  </w:tbl>
  <w:p w:rsidR="004D26EA" w:rsidRPr="005E32C1" w:rsidRDefault="004D26EA" w:rsidP="005E32C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4D26EA" w:rsidTr="005E32C1">
      <w:trPr>
        <w:gridAfter w:val="1"/>
        <w:wAfter w:w="12" w:type="dxa"/>
        <w:trHeight w:hRule="exact" w:val="864"/>
      </w:trPr>
      <w:tc>
        <w:tcPr>
          <w:tcW w:w="1267" w:type="dxa"/>
          <w:tcBorders>
            <w:bottom w:val="single" w:sz="4" w:space="0" w:color="auto"/>
          </w:tcBorders>
          <w:shd w:val="clear" w:color="auto" w:fill="auto"/>
          <w:vAlign w:val="bottom"/>
        </w:tcPr>
        <w:p w:rsidR="004D26EA" w:rsidRDefault="004D26EA" w:rsidP="005E32C1">
          <w:pPr>
            <w:pStyle w:val="Header"/>
            <w:spacing w:after="120"/>
          </w:pPr>
        </w:p>
      </w:tc>
      <w:tc>
        <w:tcPr>
          <w:tcW w:w="2059" w:type="dxa"/>
          <w:tcBorders>
            <w:bottom w:val="single" w:sz="4" w:space="0" w:color="auto"/>
          </w:tcBorders>
          <w:shd w:val="clear" w:color="auto" w:fill="auto"/>
          <w:vAlign w:val="bottom"/>
        </w:tcPr>
        <w:p w:rsidR="004D26EA" w:rsidRPr="005E32C1" w:rsidRDefault="004D26EA" w:rsidP="005E32C1">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D26EA" w:rsidRDefault="004D26EA" w:rsidP="005E32C1">
          <w:pPr>
            <w:pStyle w:val="Header"/>
            <w:spacing w:after="120"/>
          </w:pPr>
        </w:p>
      </w:tc>
      <w:tc>
        <w:tcPr>
          <w:tcW w:w="6523" w:type="dxa"/>
          <w:gridSpan w:val="3"/>
          <w:tcBorders>
            <w:bottom w:val="single" w:sz="4" w:space="0" w:color="auto"/>
          </w:tcBorders>
          <w:shd w:val="clear" w:color="auto" w:fill="auto"/>
          <w:vAlign w:val="bottom"/>
        </w:tcPr>
        <w:p w:rsidR="004D26EA" w:rsidRPr="005E32C1" w:rsidRDefault="004D26EA" w:rsidP="005E32C1">
          <w:pPr>
            <w:spacing w:after="80" w:line="240" w:lineRule="auto"/>
            <w:jc w:val="right"/>
            <w:rPr>
              <w:position w:val="-4"/>
            </w:rPr>
          </w:pPr>
          <w:r>
            <w:rPr>
              <w:position w:val="-4"/>
              <w:sz w:val="40"/>
            </w:rPr>
            <w:t>A</w:t>
          </w:r>
          <w:r>
            <w:rPr>
              <w:position w:val="-4"/>
            </w:rPr>
            <w:t>/71/595/Add.6</w:t>
          </w:r>
        </w:p>
      </w:tc>
    </w:tr>
    <w:tr w:rsidR="004D26EA" w:rsidRPr="005E32C1" w:rsidTr="005E32C1">
      <w:trPr>
        <w:trHeight w:hRule="exact" w:val="2880"/>
      </w:trPr>
      <w:tc>
        <w:tcPr>
          <w:tcW w:w="1267" w:type="dxa"/>
          <w:tcBorders>
            <w:top w:val="single" w:sz="4" w:space="0" w:color="auto"/>
            <w:bottom w:val="single" w:sz="12" w:space="0" w:color="auto"/>
          </w:tcBorders>
          <w:shd w:val="clear" w:color="auto" w:fill="auto"/>
        </w:tcPr>
        <w:p w:rsidR="004D26EA" w:rsidRPr="005E32C1" w:rsidRDefault="004D26EA" w:rsidP="005E32C1">
          <w:pPr>
            <w:pStyle w:val="Header"/>
            <w:spacing w:before="120"/>
            <w:jc w:val="center"/>
          </w:pPr>
          <w:r>
            <w:t xml:space="preserve"> </w:t>
          </w:r>
          <w:r>
            <w:rPr>
              <w:lang w:eastAsia="zh-CN"/>
            </w:rPr>
            <w:drawing>
              <wp:inline distT="0" distB="0" distL="0" distR="0" wp14:anchorId="1C761AE3" wp14:editId="79F22F0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D26EA" w:rsidRPr="005E32C1" w:rsidRDefault="004D26EA" w:rsidP="005E32C1">
          <w:pPr>
            <w:pStyle w:val="XLarge"/>
            <w:spacing w:before="109"/>
          </w:pPr>
          <w:r>
            <w:t>Asamblea General</w:t>
          </w:r>
        </w:p>
      </w:tc>
      <w:tc>
        <w:tcPr>
          <w:tcW w:w="245" w:type="dxa"/>
          <w:tcBorders>
            <w:top w:val="single" w:sz="4" w:space="0" w:color="auto"/>
            <w:bottom w:val="single" w:sz="12" w:space="0" w:color="auto"/>
          </w:tcBorders>
          <w:shd w:val="clear" w:color="auto" w:fill="auto"/>
        </w:tcPr>
        <w:p w:rsidR="004D26EA" w:rsidRPr="005E32C1" w:rsidRDefault="004D26EA" w:rsidP="005E32C1">
          <w:pPr>
            <w:pStyle w:val="Header"/>
            <w:spacing w:before="109"/>
          </w:pPr>
        </w:p>
      </w:tc>
      <w:tc>
        <w:tcPr>
          <w:tcW w:w="3180" w:type="dxa"/>
          <w:gridSpan w:val="2"/>
          <w:tcBorders>
            <w:top w:val="single" w:sz="4" w:space="0" w:color="auto"/>
            <w:bottom w:val="single" w:sz="12" w:space="0" w:color="auto"/>
          </w:tcBorders>
          <w:shd w:val="clear" w:color="auto" w:fill="auto"/>
        </w:tcPr>
        <w:p w:rsidR="004D26EA" w:rsidRDefault="004D26EA" w:rsidP="005E32C1">
          <w:pPr>
            <w:pStyle w:val="Distribution"/>
            <w:spacing w:before="240"/>
          </w:pPr>
          <w:r>
            <w:t>Distr. general</w:t>
          </w:r>
        </w:p>
        <w:p w:rsidR="004D26EA" w:rsidRDefault="004D26EA" w:rsidP="005E32C1">
          <w:pPr>
            <w:pStyle w:val="Publication"/>
          </w:pPr>
          <w:r>
            <w:t>9 de diciembre de 2016</w:t>
          </w:r>
        </w:p>
        <w:p w:rsidR="004D26EA" w:rsidRDefault="004D26EA" w:rsidP="005E32C1">
          <w:r>
            <w:t>Español</w:t>
          </w:r>
        </w:p>
        <w:p w:rsidR="004D26EA" w:rsidRDefault="004D26EA" w:rsidP="005E32C1">
          <w:pPr>
            <w:pStyle w:val="Original"/>
          </w:pPr>
          <w:r>
            <w:t>Original: inglés</w:t>
          </w:r>
        </w:p>
        <w:p w:rsidR="004D26EA" w:rsidRPr="005E32C1" w:rsidRDefault="004D26EA" w:rsidP="005E32C1"/>
      </w:tc>
    </w:tr>
  </w:tbl>
  <w:p w:rsidR="004D26EA" w:rsidRPr="005E32C1" w:rsidRDefault="004D26EA" w:rsidP="005E32C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nsid w:val="50B32E79"/>
    <w:multiLevelType w:val="singleLevel"/>
    <w:tmpl w:val="C7AC8834"/>
    <w:lvl w:ilvl="0">
      <w:start w:val="32"/>
      <w:numFmt w:val="decimal"/>
      <w:lvlRestart w:val="0"/>
      <w:lvlText w:val="%1."/>
      <w:lvlJc w:val="left"/>
      <w:pPr>
        <w:tabs>
          <w:tab w:val="num" w:pos="475"/>
        </w:tabs>
        <w:ind w:left="0" w:firstLine="0"/>
      </w:pPr>
      <w:rPr>
        <w:spacing w:val="0"/>
        <w:w w:val="100"/>
      </w:rPr>
    </w:lvl>
  </w:abstractNum>
  <w:abstractNum w:abstractNumId="3">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nsid w:val="577A2C51"/>
    <w:multiLevelType w:val="singleLevel"/>
    <w:tmpl w:val="E0D4BAEA"/>
    <w:lvl w:ilvl="0">
      <w:start w:val="1"/>
      <w:numFmt w:val="decimal"/>
      <w:lvlRestart w:val="0"/>
      <w:lvlText w:val="%1."/>
      <w:lvlJc w:val="left"/>
      <w:pPr>
        <w:tabs>
          <w:tab w:val="num" w:pos="475"/>
        </w:tabs>
        <w:ind w:left="0" w:firstLine="0"/>
      </w:pPr>
      <w:rPr>
        <w:spacing w:val="0"/>
        <w:w w:val="100"/>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nsid w:val="632D0839"/>
    <w:multiLevelType w:val="hybridMultilevel"/>
    <w:tmpl w:val="1502686C"/>
    <w:lvl w:ilvl="0" w:tplc="B63A68B4">
      <w:start w:val="1"/>
      <w:numFmt w:val="decimal"/>
      <w:lvlText w:val="%1."/>
      <w:lvlJc w:val="left"/>
      <w:pPr>
        <w:ind w:left="1735" w:hanging="468"/>
      </w:pPr>
      <w:rPr>
        <w:rFonts w:hint="default"/>
      </w:rPr>
    </w:lvl>
    <w:lvl w:ilvl="1" w:tplc="4CC81AAA">
      <w:start w:val="1"/>
      <w:numFmt w:val="upperLetter"/>
      <w:lvlText w:val="%2."/>
      <w:lvlJc w:val="left"/>
      <w:pPr>
        <w:ind w:left="2455" w:hanging="468"/>
      </w:pPr>
      <w:rPr>
        <w:rFonts w:hint="default"/>
      </w:r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7AAF57F9"/>
    <w:multiLevelType w:val="singleLevel"/>
    <w:tmpl w:val="6F78D5AE"/>
    <w:lvl w:ilvl="0">
      <w:start w:val="16"/>
      <w:numFmt w:val="decimal"/>
      <w:lvlRestart w:val="0"/>
      <w:lvlText w:val="%1."/>
      <w:lvlJc w:val="left"/>
      <w:pPr>
        <w:tabs>
          <w:tab w:val="num" w:pos="475"/>
        </w:tabs>
        <w:ind w:left="0" w:firstLine="0"/>
      </w:pPr>
      <w:rPr>
        <w:b w:val="0"/>
        <w:spacing w:val="0"/>
        <w:w w:val="100"/>
      </w:rPr>
    </w:lvl>
  </w:abstractNum>
  <w:num w:numId="1">
    <w:abstractNumId w:val="5"/>
  </w:num>
  <w:num w:numId="2">
    <w:abstractNumId w:val="0"/>
  </w:num>
  <w:num w:numId="3">
    <w:abstractNumId w:val="3"/>
  </w:num>
  <w:num w:numId="4">
    <w:abstractNumId w:val="1"/>
  </w:num>
  <w:num w:numId="5">
    <w:abstractNumId w:val="5"/>
  </w:num>
  <w:num w:numId="6">
    <w:abstractNumId w:val="0"/>
  </w:num>
  <w:num w:numId="7">
    <w:abstractNumId w:val="3"/>
  </w:num>
  <w:num w:numId="8">
    <w:abstractNumId w:val="1"/>
  </w:num>
  <w:num w:numId="9">
    <w:abstractNumId w:val="5"/>
  </w:num>
  <w:num w:numId="10">
    <w:abstractNumId w:val="0"/>
  </w:num>
  <w:num w:numId="11">
    <w:abstractNumId w:val="3"/>
  </w:num>
  <w:num w:numId="12">
    <w:abstractNumId w:val="1"/>
  </w:num>
  <w:num w:numId="13">
    <w:abstractNumId w:val="5"/>
  </w:num>
  <w:num w:numId="14">
    <w:abstractNumId w:val="0"/>
  </w:num>
  <w:num w:numId="15">
    <w:abstractNumId w:val="3"/>
  </w:num>
  <w:num w:numId="16">
    <w:abstractNumId w:val="1"/>
  </w:num>
  <w:num w:numId="17">
    <w:abstractNumId w:val="5"/>
  </w:num>
  <w:num w:numId="18">
    <w:abstractNumId w:val="0"/>
  </w:num>
  <w:num w:numId="19">
    <w:abstractNumId w:val="3"/>
  </w:num>
  <w:num w:numId="20">
    <w:abstractNumId w:val="1"/>
  </w:num>
  <w:num w:numId="21">
    <w:abstractNumId w:val="4"/>
  </w:num>
  <w:num w:numId="22">
    <w:abstractNumId w:val="6"/>
  </w:num>
  <w:num w:numId="23">
    <w:abstractNumId w:val="7"/>
  </w:num>
  <w:num w:numId="24">
    <w:abstractNumId w:val="7"/>
    <w:lvlOverride w:ilvl="0">
      <w:lvl w:ilvl="0">
        <w:start w:val="16"/>
        <w:numFmt w:val="decimal"/>
        <w:lvlRestart w:val="0"/>
        <w:lvlText w:val="%1."/>
        <w:lvlJc w:val="left"/>
        <w:pPr>
          <w:tabs>
            <w:tab w:val="num" w:pos="475"/>
          </w:tabs>
          <w:ind w:left="0" w:firstLine="0"/>
        </w:pPr>
        <w:rPr>
          <w:b w:val="0"/>
          <w:spacing w:val="0"/>
          <w:w w:val="100"/>
        </w:rPr>
      </w:lvl>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revisionView w:markup="0"/>
  <w:defaultTabStop w:val="475"/>
  <w:autoHyphenation/>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0648*"/>
    <w:docVar w:name="CreationDt" w:val="12/12/2016 4:19: PM"/>
    <w:docVar w:name="DocCategory" w:val="Doc"/>
    <w:docVar w:name="DocType" w:val="Final"/>
    <w:docVar w:name="DutyStation" w:val="New York"/>
    <w:docVar w:name="FooterJN" w:val="16-20648"/>
    <w:docVar w:name="jobn" w:val="16-20648 (S)"/>
    <w:docVar w:name="jobnDT" w:val="16-20648 (S)   121216"/>
    <w:docVar w:name="jobnDTDT" w:val="16-20648 (S)   121216   121216"/>
    <w:docVar w:name="JobNo" w:val="1620648S"/>
    <w:docVar w:name="JobNo2" w:val="16432094:19: PM"/>
    <w:docVar w:name="LocalDrive" w:val="0"/>
    <w:docVar w:name="OandT" w:val="AD"/>
    <w:docVar w:name="sss1" w:val="A/71/595/Add.6"/>
    <w:docVar w:name="sss2" w:val="-"/>
    <w:docVar w:name="Symbol1" w:val="A/71/595/Add.6"/>
    <w:docVar w:name="Symbol2" w:val="-"/>
  </w:docVars>
  <w:rsids>
    <w:rsidRoot w:val="003E3F46"/>
    <w:rsid w:val="00017FCF"/>
    <w:rsid w:val="00024D1E"/>
    <w:rsid w:val="00050819"/>
    <w:rsid w:val="00053B04"/>
    <w:rsid w:val="00077873"/>
    <w:rsid w:val="000C4C9C"/>
    <w:rsid w:val="000D51FE"/>
    <w:rsid w:val="000E1D69"/>
    <w:rsid w:val="00171500"/>
    <w:rsid w:val="001C5B2A"/>
    <w:rsid w:val="001D1ECB"/>
    <w:rsid w:val="002036FD"/>
    <w:rsid w:val="00214645"/>
    <w:rsid w:val="00257063"/>
    <w:rsid w:val="002706A2"/>
    <w:rsid w:val="00293F2A"/>
    <w:rsid w:val="002D4150"/>
    <w:rsid w:val="00320199"/>
    <w:rsid w:val="00365523"/>
    <w:rsid w:val="00395DCA"/>
    <w:rsid w:val="003B1A40"/>
    <w:rsid w:val="003C5C64"/>
    <w:rsid w:val="003D52D6"/>
    <w:rsid w:val="003E1167"/>
    <w:rsid w:val="003E3B08"/>
    <w:rsid w:val="003E3F46"/>
    <w:rsid w:val="003E723B"/>
    <w:rsid w:val="00422FEB"/>
    <w:rsid w:val="00435C1A"/>
    <w:rsid w:val="0044179B"/>
    <w:rsid w:val="0046235C"/>
    <w:rsid w:val="00480B25"/>
    <w:rsid w:val="00491235"/>
    <w:rsid w:val="004952A4"/>
    <w:rsid w:val="004A6ED4"/>
    <w:rsid w:val="004B4C46"/>
    <w:rsid w:val="004D17DB"/>
    <w:rsid w:val="004D26EA"/>
    <w:rsid w:val="00522914"/>
    <w:rsid w:val="00537BB3"/>
    <w:rsid w:val="00556720"/>
    <w:rsid w:val="0056638E"/>
    <w:rsid w:val="005B6A72"/>
    <w:rsid w:val="005C49C8"/>
    <w:rsid w:val="005D3449"/>
    <w:rsid w:val="005E32C1"/>
    <w:rsid w:val="00600FE0"/>
    <w:rsid w:val="00602C6A"/>
    <w:rsid w:val="0063350C"/>
    <w:rsid w:val="0063464F"/>
    <w:rsid w:val="006459B3"/>
    <w:rsid w:val="006512D1"/>
    <w:rsid w:val="006723FC"/>
    <w:rsid w:val="00674235"/>
    <w:rsid w:val="00681368"/>
    <w:rsid w:val="0069186D"/>
    <w:rsid w:val="00716308"/>
    <w:rsid w:val="00744326"/>
    <w:rsid w:val="00770077"/>
    <w:rsid w:val="007A6499"/>
    <w:rsid w:val="007C2CCC"/>
    <w:rsid w:val="00821B33"/>
    <w:rsid w:val="00835778"/>
    <w:rsid w:val="00855FFA"/>
    <w:rsid w:val="00861408"/>
    <w:rsid w:val="008723C3"/>
    <w:rsid w:val="008B69D2"/>
    <w:rsid w:val="00905896"/>
    <w:rsid w:val="009127CD"/>
    <w:rsid w:val="00925209"/>
    <w:rsid w:val="00926149"/>
    <w:rsid w:val="009727CE"/>
    <w:rsid w:val="00983099"/>
    <w:rsid w:val="00986F30"/>
    <w:rsid w:val="009B4203"/>
    <w:rsid w:val="009E1969"/>
    <w:rsid w:val="009E3B08"/>
    <w:rsid w:val="00A01851"/>
    <w:rsid w:val="00A20AC0"/>
    <w:rsid w:val="00A606DA"/>
    <w:rsid w:val="00A6078F"/>
    <w:rsid w:val="00A615FA"/>
    <w:rsid w:val="00A62D28"/>
    <w:rsid w:val="00AD6904"/>
    <w:rsid w:val="00B168EA"/>
    <w:rsid w:val="00B36484"/>
    <w:rsid w:val="00B54BE9"/>
    <w:rsid w:val="00B67FE8"/>
    <w:rsid w:val="00B702E8"/>
    <w:rsid w:val="00B71862"/>
    <w:rsid w:val="00B87E12"/>
    <w:rsid w:val="00BA3166"/>
    <w:rsid w:val="00BB7D4B"/>
    <w:rsid w:val="00BD1ED6"/>
    <w:rsid w:val="00BD7A4C"/>
    <w:rsid w:val="00BF5B27"/>
    <w:rsid w:val="00BF6BE0"/>
    <w:rsid w:val="00C26349"/>
    <w:rsid w:val="00C3681F"/>
    <w:rsid w:val="00C43DED"/>
    <w:rsid w:val="00C50F70"/>
    <w:rsid w:val="00C751E5"/>
    <w:rsid w:val="00C779E4"/>
    <w:rsid w:val="00C80D8D"/>
    <w:rsid w:val="00CB5B75"/>
    <w:rsid w:val="00D07300"/>
    <w:rsid w:val="00D12DB4"/>
    <w:rsid w:val="00D81B75"/>
    <w:rsid w:val="00DC3385"/>
    <w:rsid w:val="00DC7B16"/>
    <w:rsid w:val="00DD05D3"/>
    <w:rsid w:val="00E278A8"/>
    <w:rsid w:val="00E33066"/>
    <w:rsid w:val="00EC3686"/>
    <w:rsid w:val="00EE27BF"/>
    <w:rsid w:val="00F27BF6"/>
    <w:rsid w:val="00F30184"/>
    <w:rsid w:val="00F5593E"/>
    <w:rsid w:val="00F94BC6"/>
    <w:rsid w:val="00FA3DB7"/>
    <w:rsid w:val="00FD75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8D"/>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C80D8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80D8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80D8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80D8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80D8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80D8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80D8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80D8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80D8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80D8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C80D8D"/>
    <w:pPr>
      <w:keepNext/>
      <w:keepLines/>
      <w:spacing w:line="270" w:lineRule="exact"/>
      <w:outlineLvl w:val="0"/>
    </w:pPr>
    <w:rPr>
      <w:b/>
      <w:kern w:val="14"/>
      <w:sz w:val="24"/>
    </w:rPr>
  </w:style>
  <w:style w:type="paragraph" w:customStyle="1" w:styleId="HCh">
    <w:name w:val="_ H _Ch"/>
    <w:basedOn w:val="H1"/>
    <w:next w:val="SingleTxt"/>
    <w:qFormat/>
    <w:rsid w:val="00C80D8D"/>
    <w:pPr>
      <w:spacing w:line="300" w:lineRule="exact"/>
    </w:pPr>
    <w:rPr>
      <w:spacing w:val="-2"/>
      <w:sz w:val="28"/>
    </w:rPr>
  </w:style>
  <w:style w:type="paragraph" w:customStyle="1" w:styleId="HM">
    <w:name w:val="_ H __M"/>
    <w:basedOn w:val="HCh"/>
    <w:next w:val="Normal"/>
    <w:qFormat/>
    <w:rsid w:val="00C80D8D"/>
    <w:pPr>
      <w:spacing w:line="360" w:lineRule="exact"/>
    </w:pPr>
    <w:rPr>
      <w:spacing w:val="-3"/>
      <w:w w:val="99"/>
      <w:sz w:val="34"/>
    </w:rPr>
  </w:style>
  <w:style w:type="paragraph" w:customStyle="1" w:styleId="H23">
    <w:name w:val="_ H_2/3"/>
    <w:basedOn w:val="H1"/>
    <w:next w:val="SingleTxt"/>
    <w:qFormat/>
    <w:rsid w:val="00C80D8D"/>
    <w:pPr>
      <w:spacing w:line="240" w:lineRule="exact"/>
      <w:outlineLvl w:val="1"/>
    </w:pPr>
    <w:rPr>
      <w:spacing w:val="2"/>
      <w:sz w:val="20"/>
    </w:rPr>
  </w:style>
  <w:style w:type="paragraph" w:customStyle="1" w:styleId="H4">
    <w:name w:val="_ H_4"/>
    <w:basedOn w:val="Normal"/>
    <w:next w:val="Normal"/>
    <w:qFormat/>
    <w:rsid w:val="00C80D8D"/>
    <w:pPr>
      <w:keepNext/>
      <w:keepLines/>
      <w:tabs>
        <w:tab w:val="right" w:pos="360"/>
      </w:tabs>
      <w:outlineLvl w:val="3"/>
    </w:pPr>
    <w:rPr>
      <w:i/>
      <w:spacing w:val="3"/>
      <w:kern w:val="14"/>
    </w:rPr>
  </w:style>
  <w:style w:type="paragraph" w:customStyle="1" w:styleId="H56">
    <w:name w:val="_ H_5/6"/>
    <w:basedOn w:val="Normal"/>
    <w:next w:val="Normal"/>
    <w:qFormat/>
    <w:rsid w:val="00C80D8D"/>
    <w:pPr>
      <w:keepNext/>
      <w:keepLines/>
      <w:tabs>
        <w:tab w:val="right" w:pos="360"/>
      </w:tabs>
      <w:outlineLvl w:val="4"/>
    </w:pPr>
    <w:rPr>
      <w:kern w:val="14"/>
    </w:rPr>
  </w:style>
  <w:style w:type="paragraph" w:customStyle="1" w:styleId="DualTxt">
    <w:name w:val="__Dual Txt"/>
    <w:basedOn w:val="Normal"/>
    <w:qFormat/>
    <w:rsid w:val="00C80D8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80D8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80D8D"/>
    <w:pPr>
      <w:spacing w:line="540" w:lineRule="exact"/>
    </w:pPr>
    <w:rPr>
      <w:spacing w:val="-8"/>
      <w:w w:val="96"/>
      <w:sz w:val="57"/>
    </w:rPr>
  </w:style>
  <w:style w:type="paragraph" w:customStyle="1" w:styleId="SS">
    <w:name w:val="__S_S"/>
    <w:basedOn w:val="HCh"/>
    <w:next w:val="Normal"/>
    <w:qFormat/>
    <w:rsid w:val="00C80D8D"/>
    <w:pPr>
      <w:ind w:left="1267" w:right="1267"/>
    </w:pPr>
  </w:style>
  <w:style w:type="paragraph" w:customStyle="1" w:styleId="SingleTxt">
    <w:name w:val="__Single Txt"/>
    <w:basedOn w:val="Normal"/>
    <w:qFormat/>
    <w:rsid w:val="00C80D8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80D8D"/>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80D8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80D8D"/>
    <w:pPr>
      <w:keepNext/>
      <w:keepLines/>
      <w:spacing w:line="240" w:lineRule="exact"/>
      <w:ind w:left="0" w:right="0" w:firstLine="0"/>
      <w:outlineLvl w:val="1"/>
    </w:pPr>
    <w:rPr>
      <w:sz w:val="20"/>
    </w:rPr>
  </w:style>
  <w:style w:type="paragraph" w:styleId="BalloonText">
    <w:name w:val="Balloon Text"/>
    <w:basedOn w:val="Normal"/>
    <w:link w:val="BalloonTextChar"/>
    <w:semiHidden/>
    <w:rsid w:val="00C80D8D"/>
    <w:rPr>
      <w:rFonts w:ascii="Tahoma" w:hAnsi="Tahoma" w:cs="Tahoma"/>
      <w:sz w:val="16"/>
      <w:szCs w:val="16"/>
    </w:rPr>
  </w:style>
  <w:style w:type="character" w:customStyle="1" w:styleId="BalloonTextChar">
    <w:name w:val="Balloon Text Char"/>
    <w:basedOn w:val="DefaultParagraphFont"/>
    <w:link w:val="BalloonText"/>
    <w:semiHidden/>
    <w:rsid w:val="00C80D8D"/>
    <w:rPr>
      <w:rFonts w:ascii="Tahoma" w:eastAsiaTheme="minorHAnsi" w:hAnsi="Tahoma" w:cs="Tahoma"/>
      <w:spacing w:val="4"/>
      <w:w w:val="103"/>
      <w:sz w:val="16"/>
      <w:szCs w:val="16"/>
      <w:lang w:val="es-ES" w:eastAsia="en-US"/>
    </w:rPr>
  </w:style>
  <w:style w:type="paragraph" w:customStyle="1" w:styleId="Bullet1">
    <w:name w:val="Bullet 1"/>
    <w:basedOn w:val="Normal"/>
    <w:qFormat/>
    <w:rsid w:val="00C80D8D"/>
    <w:pPr>
      <w:numPr>
        <w:numId w:val="17"/>
      </w:numPr>
      <w:spacing w:after="120"/>
      <w:ind w:right="1264"/>
      <w:jc w:val="both"/>
    </w:pPr>
  </w:style>
  <w:style w:type="paragraph" w:customStyle="1" w:styleId="Bullet2">
    <w:name w:val="Bullet 2"/>
    <w:basedOn w:val="Normal"/>
    <w:qFormat/>
    <w:rsid w:val="00C80D8D"/>
    <w:pPr>
      <w:numPr>
        <w:numId w:val="18"/>
      </w:numPr>
      <w:spacing w:after="120"/>
      <w:ind w:right="1264"/>
      <w:jc w:val="both"/>
    </w:pPr>
  </w:style>
  <w:style w:type="paragraph" w:customStyle="1" w:styleId="Bullet3">
    <w:name w:val="Bullet 3"/>
    <w:basedOn w:val="SingleTxt"/>
    <w:qFormat/>
    <w:rsid w:val="00C80D8D"/>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80D8D"/>
    <w:pPr>
      <w:spacing w:line="240" w:lineRule="auto"/>
    </w:pPr>
    <w:rPr>
      <w:b/>
      <w:bCs/>
      <w:color w:val="4F81BD"/>
      <w:sz w:val="18"/>
      <w:szCs w:val="18"/>
    </w:rPr>
  </w:style>
  <w:style w:type="character" w:styleId="CommentReference">
    <w:name w:val="annotation reference"/>
    <w:semiHidden/>
    <w:rsid w:val="00C80D8D"/>
    <w:rPr>
      <w:sz w:val="6"/>
    </w:rPr>
  </w:style>
  <w:style w:type="paragraph" w:customStyle="1" w:styleId="Distribution">
    <w:name w:val="Distribution"/>
    <w:next w:val="Normal"/>
    <w:autoRedefine/>
    <w:qFormat/>
    <w:rsid w:val="00C80D8D"/>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C80D8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80D8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80D8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C80D8D"/>
    <w:pPr>
      <w:spacing w:after="80"/>
    </w:pPr>
  </w:style>
  <w:style w:type="character" w:customStyle="1" w:styleId="EndnoteTextChar">
    <w:name w:val="Endnote Text Char"/>
    <w:basedOn w:val="DefaultParagraphFont"/>
    <w:link w:val="EndnoteText"/>
    <w:semiHidden/>
    <w:rsid w:val="00C80D8D"/>
    <w:rPr>
      <w:rFonts w:ascii="Times New Roman" w:eastAsiaTheme="minorHAnsi" w:hAnsi="Times New Roman" w:cs="Times New Roman"/>
      <w:spacing w:val="5"/>
      <w:w w:val="104"/>
      <w:sz w:val="17"/>
      <w:lang w:val="es-ES" w:eastAsia="en-US"/>
    </w:rPr>
  </w:style>
  <w:style w:type="paragraph" w:styleId="Footer">
    <w:name w:val="footer"/>
    <w:link w:val="FooterChar"/>
    <w:qFormat/>
    <w:rsid w:val="00C80D8D"/>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C80D8D"/>
    <w:rPr>
      <w:rFonts w:ascii="Times New Roman" w:eastAsiaTheme="minorHAnsi" w:hAnsi="Times New Roman" w:cs="Times New Roman"/>
      <w:b/>
      <w:noProof/>
      <w:sz w:val="17"/>
      <w:lang w:val="en-US" w:eastAsia="en-US"/>
    </w:rPr>
  </w:style>
  <w:style w:type="character" w:styleId="FootnoteReference">
    <w:name w:val="footnote reference"/>
    <w:semiHidden/>
    <w:rsid w:val="00C80D8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80D8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80D8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80D8D"/>
    <w:pPr>
      <w:spacing w:before="240"/>
    </w:pPr>
    <w:rPr>
      <w:b/>
      <w:spacing w:val="-2"/>
      <w:w w:val="100"/>
    </w:rPr>
  </w:style>
  <w:style w:type="paragraph" w:customStyle="1" w:styleId="HdChapterBdLg">
    <w:name w:val="Hd Chapter Bd Lg"/>
    <w:basedOn w:val="HdChapterBD"/>
    <w:next w:val="Normal"/>
    <w:qFormat/>
    <w:rsid w:val="00C80D8D"/>
    <w:rPr>
      <w:spacing w:val="-3"/>
      <w:w w:val="99"/>
      <w:kern w:val="14"/>
      <w:sz w:val="34"/>
      <w:szCs w:val="34"/>
    </w:rPr>
  </w:style>
  <w:style w:type="paragraph" w:styleId="Header">
    <w:name w:val="header"/>
    <w:link w:val="HeaderChar"/>
    <w:qFormat/>
    <w:rsid w:val="00C80D8D"/>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C80D8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80D8D"/>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C80D8D"/>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C80D8D"/>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C80D8D"/>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C80D8D"/>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80D8D"/>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80D8D"/>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C80D8D"/>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C80D8D"/>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C80D8D"/>
    <w:pPr>
      <w:keepNext/>
      <w:spacing w:before="190" w:line="270" w:lineRule="exact"/>
    </w:pPr>
    <w:rPr>
      <w:b/>
      <w:kern w:val="14"/>
      <w:sz w:val="24"/>
    </w:rPr>
  </w:style>
  <w:style w:type="paragraph" w:customStyle="1" w:styleId="JournalHeading2">
    <w:name w:val="Journal_Heading2"/>
    <w:basedOn w:val="Normal"/>
    <w:next w:val="Normal"/>
    <w:qFormat/>
    <w:rsid w:val="00C80D8D"/>
    <w:pPr>
      <w:keepNext/>
      <w:keepLines/>
      <w:spacing w:before="240"/>
      <w:outlineLvl w:val="1"/>
    </w:pPr>
    <w:rPr>
      <w:b/>
      <w:spacing w:val="2"/>
      <w:kern w:val="14"/>
    </w:rPr>
  </w:style>
  <w:style w:type="paragraph" w:customStyle="1" w:styleId="JournalHeading4">
    <w:name w:val="Journal_Heading4"/>
    <w:basedOn w:val="Normal"/>
    <w:next w:val="Normal"/>
    <w:qFormat/>
    <w:rsid w:val="00C80D8D"/>
    <w:pPr>
      <w:keepNext/>
      <w:keepLines/>
      <w:spacing w:before="240"/>
      <w:outlineLvl w:val="3"/>
    </w:pPr>
    <w:rPr>
      <w:i/>
      <w:kern w:val="14"/>
    </w:rPr>
  </w:style>
  <w:style w:type="character" w:styleId="LineNumber">
    <w:name w:val="line number"/>
    <w:qFormat/>
    <w:rsid w:val="00C80D8D"/>
    <w:rPr>
      <w:sz w:val="14"/>
    </w:rPr>
  </w:style>
  <w:style w:type="paragraph" w:styleId="NoSpacing">
    <w:name w:val="No Spacing"/>
    <w:basedOn w:val="Normal"/>
    <w:uiPriority w:val="1"/>
    <w:rsid w:val="00C80D8D"/>
    <w:pPr>
      <w:spacing w:line="240" w:lineRule="auto"/>
    </w:pPr>
  </w:style>
  <w:style w:type="paragraph" w:customStyle="1" w:styleId="NormalBullet">
    <w:name w:val="Normal Bullet"/>
    <w:basedOn w:val="Normal"/>
    <w:next w:val="Normal"/>
    <w:qFormat/>
    <w:rsid w:val="00C80D8D"/>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C80D8D"/>
    <w:pPr>
      <w:tabs>
        <w:tab w:val="left" w:leader="dot" w:pos="2218"/>
        <w:tab w:val="left" w:pos="2707"/>
        <w:tab w:val="right" w:leader="dot" w:pos="9835"/>
      </w:tabs>
    </w:pPr>
    <w:rPr>
      <w:kern w:val="14"/>
    </w:rPr>
  </w:style>
  <w:style w:type="paragraph" w:customStyle="1" w:styleId="Original">
    <w:name w:val="Original"/>
    <w:next w:val="Normal"/>
    <w:autoRedefine/>
    <w:qFormat/>
    <w:rsid w:val="00C80D8D"/>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80D8D"/>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C80D8D"/>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C80D8D"/>
    <w:pPr>
      <w:tabs>
        <w:tab w:val="right" w:pos="9965"/>
      </w:tabs>
      <w:spacing w:line="210" w:lineRule="exact"/>
    </w:pPr>
    <w:rPr>
      <w:spacing w:val="5"/>
      <w:w w:val="104"/>
      <w:kern w:val="14"/>
      <w:sz w:val="17"/>
    </w:rPr>
  </w:style>
  <w:style w:type="paragraph" w:customStyle="1" w:styleId="SmallX">
    <w:name w:val="SmallX"/>
    <w:basedOn w:val="Small"/>
    <w:next w:val="Normal"/>
    <w:qFormat/>
    <w:rsid w:val="00C80D8D"/>
    <w:pPr>
      <w:spacing w:line="180" w:lineRule="exact"/>
      <w:jc w:val="right"/>
    </w:pPr>
    <w:rPr>
      <w:spacing w:val="6"/>
      <w:w w:val="106"/>
      <w:sz w:val="14"/>
    </w:rPr>
  </w:style>
  <w:style w:type="paragraph" w:customStyle="1" w:styleId="TitleHCH">
    <w:name w:val="Title_H_CH"/>
    <w:basedOn w:val="HCh"/>
    <w:next w:val="SingleTxt"/>
    <w:qFormat/>
    <w:rsid w:val="00C80D8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80D8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80D8D"/>
    <w:pPr>
      <w:outlineLvl w:val="9"/>
    </w:pPr>
    <w:rPr>
      <w:rFonts w:eastAsiaTheme="majorEastAsia" w:cstheme="majorBidi"/>
      <w:lang w:bidi="en-US"/>
    </w:rPr>
  </w:style>
  <w:style w:type="paragraph" w:customStyle="1" w:styleId="XLarge">
    <w:name w:val="XLarge"/>
    <w:basedOn w:val="HM"/>
    <w:qFormat/>
    <w:rsid w:val="00C80D8D"/>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5E32C1"/>
    <w:pPr>
      <w:spacing w:line="240" w:lineRule="auto"/>
    </w:pPr>
    <w:rPr>
      <w:szCs w:val="20"/>
    </w:rPr>
  </w:style>
  <w:style w:type="character" w:customStyle="1" w:styleId="CommentTextChar">
    <w:name w:val="Comment Text Char"/>
    <w:basedOn w:val="DefaultParagraphFont"/>
    <w:link w:val="CommentText"/>
    <w:uiPriority w:val="99"/>
    <w:semiHidden/>
    <w:rsid w:val="005E32C1"/>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E32C1"/>
    <w:rPr>
      <w:b/>
      <w:bCs/>
    </w:rPr>
  </w:style>
  <w:style w:type="character" w:customStyle="1" w:styleId="CommentSubjectChar">
    <w:name w:val="Comment Subject Char"/>
    <w:basedOn w:val="CommentTextChar"/>
    <w:link w:val="CommentSubject"/>
    <w:uiPriority w:val="99"/>
    <w:semiHidden/>
    <w:rsid w:val="005E32C1"/>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6459B3"/>
    <w:rPr>
      <w:color w:val="0000FF"/>
      <w:u w:val="none"/>
    </w:rPr>
  </w:style>
  <w:style w:type="character" w:styleId="FollowedHyperlink">
    <w:name w:val="FollowedHyperlink"/>
    <w:basedOn w:val="DefaultParagraphFont"/>
    <w:uiPriority w:val="99"/>
    <w:semiHidden/>
    <w:unhideWhenUsed/>
    <w:rsid w:val="006459B3"/>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line number" w:uiPriority="0"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8D"/>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C80D8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C80D8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C80D8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C80D8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C80D8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C80D8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C80D8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C80D8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C80D8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C80D8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C80D8D"/>
    <w:pPr>
      <w:keepNext/>
      <w:keepLines/>
      <w:spacing w:line="270" w:lineRule="exact"/>
      <w:outlineLvl w:val="0"/>
    </w:pPr>
    <w:rPr>
      <w:b/>
      <w:kern w:val="14"/>
      <w:sz w:val="24"/>
    </w:rPr>
  </w:style>
  <w:style w:type="paragraph" w:customStyle="1" w:styleId="HCh">
    <w:name w:val="_ H _Ch"/>
    <w:basedOn w:val="H1"/>
    <w:next w:val="SingleTxt"/>
    <w:qFormat/>
    <w:rsid w:val="00C80D8D"/>
    <w:pPr>
      <w:spacing w:line="300" w:lineRule="exact"/>
    </w:pPr>
    <w:rPr>
      <w:spacing w:val="-2"/>
      <w:sz w:val="28"/>
    </w:rPr>
  </w:style>
  <w:style w:type="paragraph" w:customStyle="1" w:styleId="HM">
    <w:name w:val="_ H __M"/>
    <w:basedOn w:val="HCh"/>
    <w:next w:val="Normal"/>
    <w:qFormat/>
    <w:rsid w:val="00C80D8D"/>
    <w:pPr>
      <w:spacing w:line="360" w:lineRule="exact"/>
    </w:pPr>
    <w:rPr>
      <w:spacing w:val="-3"/>
      <w:w w:val="99"/>
      <w:sz w:val="34"/>
    </w:rPr>
  </w:style>
  <w:style w:type="paragraph" w:customStyle="1" w:styleId="H23">
    <w:name w:val="_ H_2/3"/>
    <w:basedOn w:val="H1"/>
    <w:next w:val="SingleTxt"/>
    <w:qFormat/>
    <w:rsid w:val="00C80D8D"/>
    <w:pPr>
      <w:spacing w:line="240" w:lineRule="exact"/>
      <w:outlineLvl w:val="1"/>
    </w:pPr>
    <w:rPr>
      <w:spacing w:val="2"/>
      <w:sz w:val="20"/>
    </w:rPr>
  </w:style>
  <w:style w:type="paragraph" w:customStyle="1" w:styleId="H4">
    <w:name w:val="_ H_4"/>
    <w:basedOn w:val="Normal"/>
    <w:next w:val="Normal"/>
    <w:qFormat/>
    <w:rsid w:val="00C80D8D"/>
    <w:pPr>
      <w:keepNext/>
      <w:keepLines/>
      <w:tabs>
        <w:tab w:val="right" w:pos="360"/>
      </w:tabs>
      <w:outlineLvl w:val="3"/>
    </w:pPr>
    <w:rPr>
      <w:i/>
      <w:spacing w:val="3"/>
      <w:kern w:val="14"/>
    </w:rPr>
  </w:style>
  <w:style w:type="paragraph" w:customStyle="1" w:styleId="H56">
    <w:name w:val="_ H_5/6"/>
    <w:basedOn w:val="Normal"/>
    <w:next w:val="Normal"/>
    <w:qFormat/>
    <w:rsid w:val="00C80D8D"/>
    <w:pPr>
      <w:keepNext/>
      <w:keepLines/>
      <w:tabs>
        <w:tab w:val="right" w:pos="360"/>
      </w:tabs>
      <w:outlineLvl w:val="4"/>
    </w:pPr>
    <w:rPr>
      <w:kern w:val="14"/>
    </w:rPr>
  </w:style>
  <w:style w:type="paragraph" w:customStyle="1" w:styleId="DualTxt">
    <w:name w:val="__Dual Txt"/>
    <w:basedOn w:val="Normal"/>
    <w:qFormat/>
    <w:rsid w:val="00C80D8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C80D8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C80D8D"/>
    <w:pPr>
      <w:spacing w:line="540" w:lineRule="exact"/>
    </w:pPr>
    <w:rPr>
      <w:spacing w:val="-8"/>
      <w:w w:val="96"/>
      <w:sz w:val="57"/>
    </w:rPr>
  </w:style>
  <w:style w:type="paragraph" w:customStyle="1" w:styleId="SS">
    <w:name w:val="__S_S"/>
    <w:basedOn w:val="HCh"/>
    <w:next w:val="Normal"/>
    <w:qFormat/>
    <w:rsid w:val="00C80D8D"/>
    <w:pPr>
      <w:ind w:left="1267" w:right="1267"/>
    </w:pPr>
  </w:style>
  <w:style w:type="paragraph" w:customStyle="1" w:styleId="SingleTxt">
    <w:name w:val="__Single Txt"/>
    <w:basedOn w:val="Normal"/>
    <w:qFormat/>
    <w:rsid w:val="00C80D8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C80D8D"/>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C80D8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C80D8D"/>
    <w:pPr>
      <w:keepNext/>
      <w:keepLines/>
      <w:spacing w:line="240" w:lineRule="exact"/>
      <w:ind w:left="0" w:right="0" w:firstLine="0"/>
      <w:outlineLvl w:val="1"/>
    </w:pPr>
    <w:rPr>
      <w:sz w:val="20"/>
    </w:rPr>
  </w:style>
  <w:style w:type="paragraph" w:styleId="BalloonText">
    <w:name w:val="Balloon Text"/>
    <w:basedOn w:val="Normal"/>
    <w:link w:val="BalloonTextChar"/>
    <w:semiHidden/>
    <w:rsid w:val="00C80D8D"/>
    <w:rPr>
      <w:rFonts w:ascii="Tahoma" w:hAnsi="Tahoma" w:cs="Tahoma"/>
      <w:sz w:val="16"/>
      <w:szCs w:val="16"/>
    </w:rPr>
  </w:style>
  <w:style w:type="character" w:customStyle="1" w:styleId="BalloonTextChar">
    <w:name w:val="Balloon Text Char"/>
    <w:basedOn w:val="DefaultParagraphFont"/>
    <w:link w:val="BalloonText"/>
    <w:semiHidden/>
    <w:rsid w:val="00C80D8D"/>
    <w:rPr>
      <w:rFonts w:ascii="Tahoma" w:eastAsiaTheme="minorHAnsi" w:hAnsi="Tahoma" w:cs="Tahoma"/>
      <w:spacing w:val="4"/>
      <w:w w:val="103"/>
      <w:sz w:val="16"/>
      <w:szCs w:val="16"/>
      <w:lang w:val="es-ES" w:eastAsia="en-US"/>
    </w:rPr>
  </w:style>
  <w:style w:type="paragraph" w:customStyle="1" w:styleId="Bullet1">
    <w:name w:val="Bullet 1"/>
    <w:basedOn w:val="Normal"/>
    <w:qFormat/>
    <w:rsid w:val="00C80D8D"/>
    <w:pPr>
      <w:numPr>
        <w:numId w:val="17"/>
      </w:numPr>
      <w:spacing w:after="120"/>
      <w:ind w:right="1264"/>
      <w:jc w:val="both"/>
    </w:pPr>
  </w:style>
  <w:style w:type="paragraph" w:customStyle="1" w:styleId="Bullet2">
    <w:name w:val="Bullet 2"/>
    <w:basedOn w:val="Normal"/>
    <w:qFormat/>
    <w:rsid w:val="00C80D8D"/>
    <w:pPr>
      <w:numPr>
        <w:numId w:val="18"/>
      </w:numPr>
      <w:spacing w:after="120"/>
      <w:ind w:right="1264"/>
      <w:jc w:val="both"/>
    </w:pPr>
  </w:style>
  <w:style w:type="paragraph" w:customStyle="1" w:styleId="Bullet3">
    <w:name w:val="Bullet 3"/>
    <w:basedOn w:val="SingleTxt"/>
    <w:qFormat/>
    <w:rsid w:val="00C80D8D"/>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C80D8D"/>
    <w:pPr>
      <w:spacing w:line="240" w:lineRule="auto"/>
    </w:pPr>
    <w:rPr>
      <w:b/>
      <w:bCs/>
      <w:color w:val="4F81BD"/>
      <w:sz w:val="18"/>
      <w:szCs w:val="18"/>
    </w:rPr>
  </w:style>
  <w:style w:type="character" w:styleId="CommentReference">
    <w:name w:val="annotation reference"/>
    <w:semiHidden/>
    <w:rsid w:val="00C80D8D"/>
    <w:rPr>
      <w:sz w:val="6"/>
    </w:rPr>
  </w:style>
  <w:style w:type="paragraph" w:customStyle="1" w:styleId="Distribution">
    <w:name w:val="Distribution"/>
    <w:next w:val="Normal"/>
    <w:autoRedefine/>
    <w:qFormat/>
    <w:rsid w:val="00C80D8D"/>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C80D8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80D8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C80D8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C80D8D"/>
    <w:pPr>
      <w:spacing w:after="80"/>
    </w:pPr>
  </w:style>
  <w:style w:type="character" w:customStyle="1" w:styleId="EndnoteTextChar">
    <w:name w:val="Endnote Text Char"/>
    <w:basedOn w:val="DefaultParagraphFont"/>
    <w:link w:val="EndnoteText"/>
    <w:semiHidden/>
    <w:rsid w:val="00C80D8D"/>
    <w:rPr>
      <w:rFonts w:ascii="Times New Roman" w:eastAsiaTheme="minorHAnsi" w:hAnsi="Times New Roman" w:cs="Times New Roman"/>
      <w:spacing w:val="5"/>
      <w:w w:val="104"/>
      <w:sz w:val="17"/>
      <w:lang w:val="es-ES" w:eastAsia="en-US"/>
    </w:rPr>
  </w:style>
  <w:style w:type="paragraph" w:styleId="Footer">
    <w:name w:val="footer"/>
    <w:link w:val="FooterChar"/>
    <w:qFormat/>
    <w:rsid w:val="00C80D8D"/>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C80D8D"/>
    <w:rPr>
      <w:rFonts w:ascii="Times New Roman" w:eastAsiaTheme="minorHAnsi" w:hAnsi="Times New Roman" w:cs="Times New Roman"/>
      <w:b/>
      <w:noProof/>
      <w:sz w:val="17"/>
      <w:lang w:val="en-US" w:eastAsia="en-US"/>
    </w:rPr>
  </w:style>
  <w:style w:type="character" w:styleId="FootnoteReference">
    <w:name w:val="footnote reference"/>
    <w:semiHidden/>
    <w:rsid w:val="00C80D8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C80D8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C80D8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C80D8D"/>
    <w:pPr>
      <w:spacing w:before="240"/>
    </w:pPr>
    <w:rPr>
      <w:b/>
      <w:spacing w:val="-2"/>
      <w:w w:val="100"/>
    </w:rPr>
  </w:style>
  <w:style w:type="paragraph" w:customStyle="1" w:styleId="HdChapterBdLg">
    <w:name w:val="Hd Chapter Bd Lg"/>
    <w:basedOn w:val="HdChapterBD"/>
    <w:next w:val="Normal"/>
    <w:qFormat/>
    <w:rsid w:val="00C80D8D"/>
    <w:rPr>
      <w:spacing w:val="-3"/>
      <w:w w:val="99"/>
      <w:kern w:val="14"/>
      <w:sz w:val="34"/>
      <w:szCs w:val="34"/>
    </w:rPr>
  </w:style>
  <w:style w:type="paragraph" w:styleId="Header">
    <w:name w:val="header"/>
    <w:link w:val="HeaderChar"/>
    <w:qFormat/>
    <w:rsid w:val="00C80D8D"/>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C80D8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C80D8D"/>
    <w:rPr>
      <w:rFonts w:ascii="Arial" w:hAnsi="Arial" w:cs="Times New Roman"/>
      <w:b/>
      <w:bCs/>
      <w:spacing w:val="4"/>
      <w:w w:val="103"/>
      <w:kern w:val="32"/>
      <w:sz w:val="32"/>
      <w:szCs w:val="28"/>
      <w:lang w:val="es-ES" w:eastAsia="en-US"/>
    </w:rPr>
  </w:style>
  <w:style w:type="character" w:customStyle="1" w:styleId="Heading2Char">
    <w:name w:val="Heading 2 Char"/>
    <w:link w:val="Heading2"/>
    <w:uiPriority w:val="9"/>
    <w:rsid w:val="00C80D8D"/>
    <w:rPr>
      <w:rFonts w:ascii="Arial" w:hAnsi="Arial" w:cs="Times New Roman"/>
      <w:b/>
      <w:bCs/>
      <w:i/>
      <w:spacing w:val="4"/>
      <w:w w:val="103"/>
      <w:kern w:val="14"/>
      <w:sz w:val="28"/>
      <w:szCs w:val="26"/>
      <w:lang w:val="es-ES" w:eastAsia="en-US"/>
    </w:rPr>
  </w:style>
  <w:style w:type="character" w:customStyle="1" w:styleId="Heading3Char">
    <w:name w:val="Heading 3 Char"/>
    <w:link w:val="Heading3"/>
    <w:uiPriority w:val="9"/>
    <w:rsid w:val="00C80D8D"/>
    <w:rPr>
      <w:rFonts w:ascii="Arial" w:hAnsi="Arial" w:cs="Times New Roman"/>
      <w:b/>
      <w:bCs/>
      <w:spacing w:val="4"/>
      <w:w w:val="103"/>
      <w:kern w:val="14"/>
      <w:sz w:val="26"/>
      <w:lang w:val="es-ES" w:eastAsia="en-US"/>
    </w:rPr>
  </w:style>
  <w:style w:type="character" w:customStyle="1" w:styleId="Heading4Char">
    <w:name w:val="Heading 4 Char"/>
    <w:link w:val="Heading4"/>
    <w:uiPriority w:val="9"/>
    <w:semiHidden/>
    <w:rsid w:val="00C80D8D"/>
    <w:rPr>
      <w:rFonts w:ascii="Cambria" w:hAnsi="Cambria" w:cs="Times New Roman"/>
      <w:b/>
      <w:bCs/>
      <w:i/>
      <w:iCs/>
      <w:spacing w:val="4"/>
      <w:w w:val="103"/>
      <w:sz w:val="20"/>
      <w:lang w:val="es-ES" w:eastAsia="en-US"/>
    </w:rPr>
  </w:style>
  <w:style w:type="character" w:customStyle="1" w:styleId="Heading5Char">
    <w:name w:val="Heading 5 Char"/>
    <w:link w:val="Heading5"/>
    <w:uiPriority w:val="9"/>
    <w:semiHidden/>
    <w:rsid w:val="00C80D8D"/>
    <w:rPr>
      <w:rFonts w:ascii="Cambria"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C80D8D"/>
    <w:rPr>
      <w:rFonts w:ascii="Cambria"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C80D8D"/>
    <w:rPr>
      <w:rFonts w:ascii="Cambria" w:hAnsi="Cambria" w:cs="Times New Roman"/>
      <w:i/>
      <w:iCs/>
      <w:spacing w:val="4"/>
      <w:w w:val="103"/>
      <w:sz w:val="20"/>
      <w:lang w:val="es-ES" w:eastAsia="en-US"/>
    </w:rPr>
  </w:style>
  <w:style w:type="character" w:customStyle="1" w:styleId="Heading8Char">
    <w:name w:val="Heading 8 Char"/>
    <w:link w:val="Heading8"/>
    <w:uiPriority w:val="9"/>
    <w:semiHidden/>
    <w:rsid w:val="00C80D8D"/>
    <w:rPr>
      <w:rFonts w:ascii="Cambria" w:hAnsi="Cambria" w:cs="Times New Roman"/>
      <w:spacing w:val="4"/>
      <w:w w:val="103"/>
      <w:sz w:val="20"/>
      <w:szCs w:val="20"/>
      <w:lang w:val="es-ES" w:eastAsia="en-US"/>
    </w:rPr>
  </w:style>
  <w:style w:type="character" w:customStyle="1" w:styleId="Heading9Char">
    <w:name w:val="Heading 9 Char"/>
    <w:link w:val="Heading9"/>
    <w:uiPriority w:val="9"/>
    <w:semiHidden/>
    <w:rsid w:val="00C80D8D"/>
    <w:rPr>
      <w:rFonts w:ascii="Cambria" w:hAnsi="Cambria" w:cs="Times New Roman"/>
      <w:i/>
      <w:iCs/>
      <w:spacing w:val="5"/>
      <w:w w:val="103"/>
      <w:sz w:val="20"/>
      <w:szCs w:val="20"/>
      <w:lang w:val="es-ES" w:eastAsia="en-US"/>
    </w:rPr>
  </w:style>
  <w:style w:type="paragraph" w:customStyle="1" w:styleId="JournalHeading1">
    <w:name w:val="Journal_Heading1"/>
    <w:basedOn w:val="Normal"/>
    <w:next w:val="Normal"/>
    <w:qFormat/>
    <w:rsid w:val="00C80D8D"/>
    <w:pPr>
      <w:keepNext/>
      <w:spacing w:before="190" w:line="270" w:lineRule="exact"/>
    </w:pPr>
    <w:rPr>
      <w:b/>
      <w:kern w:val="14"/>
      <w:sz w:val="24"/>
    </w:rPr>
  </w:style>
  <w:style w:type="paragraph" w:customStyle="1" w:styleId="JournalHeading2">
    <w:name w:val="Journal_Heading2"/>
    <w:basedOn w:val="Normal"/>
    <w:next w:val="Normal"/>
    <w:qFormat/>
    <w:rsid w:val="00C80D8D"/>
    <w:pPr>
      <w:keepNext/>
      <w:keepLines/>
      <w:spacing w:before="240"/>
      <w:outlineLvl w:val="1"/>
    </w:pPr>
    <w:rPr>
      <w:b/>
      <w:spacing w:val="2"/>
      <w:kern w:val="14"/>
    </w:rPr>
  </w:style>
  <w:style w:type="paragraph" w:customStyle="1" w:styleId="JournalHeading4">
    <w:name w:val="Journal_Heading4"/>
    <w:basedOn w:val="Normal"/>
    <w:next w:val="Normal"/>
    <w:qFormat/>
    <w:rsid w:val="00C80D8D"/>
    <w:pPr>
      <w:keepNext/>
      <w:keepLines/>
      <w:spacing w:before="240"/>
      <w:outlineLvl w:val="3"/>
    </w:pPr>
    <w:rPr>
      <w:i/>
      <w:kern w:val="14"/>
    </w:rPr>
  </w:style>
  <w:style w:type="character" w:styleId="LineNumber">
    <w:name w:val="line number"/>
    <w:qFormat/>
    <w:rsid w:val="00C80D8D"/>
    <w:rPr>
      <w:sz w:val="14"/>
    </w:rPr>
  </w:style>
  <w:style w:type="paragraph" w:styleId="NoSpacing">
    <w:name w:val="No Spacing"/>
    <w:basedOn w:val="Normal"/>
    <w:uiPriority w:val="1"/>
    <w:rsid w:val="00C80D8D"/>
    <w:pPr>
      <w:spacing w:line="240" w:lineRule="auto"/>
    </w:pPr>
  </w:style>
  <w:style w:type="paragraph" w:customStyle="1" w:styleId="NormalBullet">
    <w:name w:val="Normal Bullet"/>
    <w:basedOn w:val="Normal"/>
    <w:next w:val="Normal"/>
    <w:qFormat/>
    <w:rsid w:val="00C80D8D"/>
    <w:pPr>
      <w:keepLines/>
      <w:numPr>
        <w:numId w:val="20"/>
      </w:numPr>
      <w:tabs>
        <w:tab w:val="left" w:pos="2218"/>
      </w:tabs>
      <w:spacing w:before="40" w:after="80"/>
      <w:ind w:right="302"/>
    </w:pPr>
    <w:rPr>
      <w:kern w:val="14"/>
    </w:rPr>
  </w:style>
  <w:style w:type="paragraph" w:customStyle="1" w:styleId="NormalSchedule">
    <w:name w:val="Normal Schedule"/>
    <w:basedOn w:val="Normal"/>
    <w:next w:val="Normal"/>
    <w:qFormat/>
    <w:rsid w:val="00C80D8D"/>
    <w:pPr>
      <w:tabs>
        <w:tab w:val="left" w:leader="dot" w:pos="2218"/>
        <w:tab w:val="left" w:pos="2707"/>
        <w:tab w:val="right" w:leader="dot" w:pos="9835"/>
      </w:tabs>
    </w:pPr>
    <w:rPr>
      <w:kern w:val="14"/>
    </w:rPr>
  </w:style>
  <w:style w:type="paragraph" w:customStyle="1" w:styleId="Original">
    <w:name w:val="Original"/>
    <w:next w:val="Normal"/>
    <w:autoRedefine/>
    <w:qFormat/>
    <w:rsid w:val="00C80D8D"/>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C80D8D"/>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C80D8D"/>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C80D8D"/>
    <w:pPr>
      <w:tabs>
        <w:tab w:val="right" w:pos="9965"/>
      </w:tabs>
      <w:spacing w:line="210" w:lineRule="exact"/>
    </w:pPr>
    <w:rPr>
      <w:spacing w:val="5"/>
      <w:w w:val="104"/>
      <w:kern w:val="14"/>
      <w:sz w:val="17"/>
    </w:rPr>
  </w:style>
  <w:style w:type="paragraph" w:customStyle="1" w:styleId="SmallX">
    <w:name w:val="SmallX"/>
    <w:basedOn w:val="Small"/>
    <w:next w:val="Normal"/>
    <w:qFormat/>
    <w:rsid w:val="00C80D8D"/>
    <w:pPr>
      <w:spacing w:line="180" w:lineRule="exact"/>
      <w:jc w:val="right"/>
    </w:pPr>
    <w:rPr>
      <w:spacing w:val="6"/>
      <w:w w:val="106"/>
      <w:sz w:val="14"/>
    </w:rPr>
  </w:style>
  <w:style w:type="paragraph" w:customStyle="1" w:styleId="TitleHCH">
    <w:name w:val="Title_H_CH"/>
    <w:basedOn w:val="HCh"/>
    <w:next w:val="SingleTxt"/>
    <w:qFormat/>
    <w:rsid w:val="00C80D8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C80D8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C80D8D"/>
    <w:pPr>
      <w:outlineLvl w:val="9"/>
    </w:pPr>
    <w:rPr>
      <w:rFonts w:eastAsiaTheme="majorEastAsia" w:cstheme="majorBidi"/>
      <w:lang w:bidi="en-US"/>
    </w:rPr>
  </w:style>
  <w:style w:type="paragraph" w:customStyle="1" w:styleId="XLarge">
    <w:name w:val="XLarge"/>
    <w:basedOn w:val="HM"/>
    <w:qFormat/>
    <w:rsid w:val="00C80D8D"/>
    <w:pPr>
      <w:tabs>
        <w:tab w:val="right" w:leader="dot" w:pos="360"/>
      </w:tabs>
      <w:spacing w:line="390" w:lineRule="exact"/>
    </w:pPr>
    <w:rPr>
      <w:spacing w:val="-4"/>
      <w:w w:val="98"/>
      <w:sz w:val="40"/>
    </w:rPr>
  </w:style>
  <w:style w:type="paragraph" w:styleId="CommentText">
    <w:name w:val="annotation text"/>
    <w:basedOn w:val="Normal"/>
    <w:link w:val="CommentTextChar"/>
    <w:uiPriority w:val="99"/>
    <w:semiHidden/>
    <w:unhideWhenUsed/>
    <w:rsid w:val="005E32C1"/>
    <w:pPr>
      <w:spacing w:line="240" w:lineRule="auto"/>
    </w:pPr>
    <w:rPr>
      <w:szCs w:val="20"/>
    </w:rPr>
  </w:style>
  <w:style w:type="character" w:customStyle="1" w:styleId="CommentTextChar">
    <w:name w:val="Comment Text Char"/>
    <w:basedOn w:val="DefaultParagraphFont"/>
    <w:link w:val="CommentText"/>
    <w:uiPriority w:val="99"/>
    <w:semiHidden/>
    <w:rsid w:val="005E32C1"/>
    <w:rPr>
      <w:rFonts w:ascii="Times New Roman"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5E32C1"/>
    <w:rPr>
      <w:b/>
      <w:bCs/>
    </w:rPr>
  </w:style>
  <w:style w:type="character" w:customStyle="1" w:styleId="CommentSubjectChar">
    <w:name w:val="Comment Subject Char"/>
    <w:basedOn w:val="CommentTextChar"/>
    <w:link w:val="CommentSubject"/>
    <w:uiPriority w:val="99"/>
    <w:semiHidden/>
    <w:rsid w:val="005E32C1"/>
    <w:rPr>
      <w:rFonts w:ascii="Times New Roman"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6459B3"/>
    <w:rPr>
      <w:color w:val="0000FF"/>
      <w:u w:val="none"/>
    </w:rPr>
  </w:style>
  <w:style w:type="character" w:styleId="FollowedHyperlink">
    <w:name w:val="FollowedHyperlink"/>
    <w:basedOn w:val="DefaultParagraphFont"/>
    <w:uiPriority w:val="99"/>
    <w:semiHidden/>
    <w:unhideWhenUsed/>
    <w:rsid w:val="006459B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undocs.org/sp/A/71/595" TargetMode="External"/><Relationship Id="rId26" Type="http://schemas.openxmlformats.org/officeDocument/2006/relationships/hyperlink" Target="http://undocs.org/sp/A/71/365/Add.6" TargetMode="External"/><Relationship Id="rId39" Type="http://schemas.openxmlformats.org/officeDocument/2006/relationships/hyperlink" Target="http://undocs.org/sp/S/RES/2303(2016)" TargetMode="External"/><Relationship Id="rId3" Type="http://schemas.microsoft.com/office/2007/relationships/stylesWithEffects" Target="stylesWithEffects.xml"/><Relationship Id="rId21" Type="http://schemas.openxmlformats.org/officeDocument/2006/relationships/hyperlink" Target="http://undocs.org/sp/A/71/365" TargetMode="External"/><Relationship Id="rId34" Type="http://schemas.openxmlformats.org/officeDocument/2006/relationships/hyperlink" Target="http://undocs.org/sp/A/71/595/Add.1" TargetMode="External"/><Relationship Id="rId42" Type="http://schemas.openxmlformats.org/officeDocument/2006/relationships/hyperlink" Target="http://undocs.org/sp/A/71/363/Add.6" TargetMode="External"/><Relationship Id="rId47" Type="http://schemas.openxmlformats.org/officeDocument/2006/relationships/hyperlink" Target="http://undocs.org/sp/A/70/7" TargetMode="External"/><Relationship Id="rId50" Type="http://schemas.openxmlformats.org/officeDocument/2006/relationships/hyperlink" Target="http://undocs.org/sp/A/71/59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sp/A/71/365/Add.1" TargetMode="External"/><Relationship Id="rId25" Type="http://schemas.openxmlformats.org/officeDocument/2006/relationships/hyperlink" Target="http://undocs.org/sp/A/71/365/Add.6" TargetMode="External"/><Relationship Id="rId33" Type="http://schemas.openxmlformats.org/officeDocument/2006/relationships/hyperlink" Target="http://undocs.org/sp/A/70/7/Add.10" TargetMode="External"/><Relationship Id="rId38" Type="http://schemas.openxmlformats.org/officeDocument/2006/relationships/hyperlink" Target="http://undocs.org/sp/S/RES/2279(2016)" TargetMode="External"/><Relationship Id="rId46" Type="http://schemas.openxmlformats.org/officeDocument/2006/relationships/hyperlink" Target="http://undocs.org/sp/A/71/595/Add.1" TargetMode="External"/><Relationship Id="rId2" Type="http://schemas.openxmlformats.org/officeDocument/2006/relationships/styles" Target="styles.xml"/><Relationship Id="rId16" Type="http://schemas.openxmlformats.org/officeDocument/2006/relationships/hyperlink" Target="http://undocs.org/sp/A/71/365" TargetMode="External"/><Relationship Id="rId20" Type="http://schemas.openxmlformats.org/officeDocument/2006/relationships/hyperlink" Target="http://undocs.org/sp/A/RES/70/249" TargetMode="External"/><Relationship Id="rId29" Type="http://schemas.openxmlformats.org/officeDocument/2006/relationships/hyperlink" Target="http://undocs.org/sp/A/71/365/Add.6" TargetMode="External"/><Relationship Id="rId41" Type="http://schemas.openxmlformats.org/officeDocument/2006/relationships/hyperlink" Target="http://undocs.org/sp/A/RES/70/24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ndocs.org/sp/A/71/365/Add.6" TargetMode="External"/><Relationship Id="rId32" Type="http://schemas.openxmlformats.org/officeDocument/2006/relationships/hyperlink" Target="http://undocs.org/sp/A/69/628" TargetMode="External"/><Relationship Id="rId37" Type="http://schemas.openxmlformats.org/officeDocument/2006/relationships/hyperlink" Target="http://undocs.org/sp/S/RES/2248(2015)" TargetMode="External"/><Relationship Id="rId40" Type="http://schemas.openxmlformats.org/officeDocument/2006/relationships/hyperlink" Target="http://undocs.org/sp/A/71/365/Add.6" TargetMode="External"/><Relationship Id="rId45" Type="http://schemas.openxmlformats.org/officeDocument/2006/relationships/hyperlink" Target="http://undocs.org/sp/S/RES/2303(2016)"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ndocs.org/sp/A/71/365/Add.6" TargetMode="External"/><Relationship Id="rId23" Type="http://schemas.openxmlformats.org/officeDocument/2006/relationships/hyperlink" Target="http://undocs.org/sp/S/PRST/2016/5" TargetMode="External"/><Relationship Id="rId28" Type="http://schemas.openxmlformats.org/officeDocument/2006/relationships/hyperlink" Target="http://undocs.org/sp/A/71/365/Add.6" TargetMode="External"/><Relationship Id="rId36" Type="http://schemas.openxmlformats.org/officeDocument/2006/relationships/hyperlink" Target="http://undocs.org/sp/A/71/595" TargetMode="External"/><Relationship Id="rId49" Type="http://schemas.openxmlformats.org/officeDocument/2006/relationships/hyperlink" Target="http://undocs.org/sp/A/71/365" TargetMode="External"/><Relationship Id="rId10" Type="http://schemas.openxmlformats.org/officeDocument/2006/relationships/footer" Target="footer1.xml"/><Relationship Id="rId19" Type="http://schemas.openxmlformats.org/officeDocument/2006/relationships/hyperlink" Target="http://undocs.org/sp/A/71/595/Add.1" TargetMode="External"/><Relationship Id="rId31" Type="http://schemas.openxmlformats.org/officeDocument/2006/relationships/hyperlink" Target="http://undocs.org/sp/A/71/365/Add.6" TargetMode="External"/><Relationship Id="rId44" Type="http://schemas.openxmlformats.org/officeDocument/2006/relationships/hyperlink" Target="http://undocs.org/sp/A/71/365/Add.6"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undocs.org/sp/S/RES/2216(2015)" TargetMode="External"/><Relationship Id="rId27" Type="http://schemas.openxmlformats.org/officeDocument/2006/relationships/hyperlink" Target="http://undocs.org/sp/A/71/365/Add.6" TargetMode="External"/><Relationship Id="rId30" Type="http://schemas.openxmlformats.org/officeDocument/2006/relationships/hyperlink" Target="http://undocs.org/sp/A/71/365/Add.1" TargetMode="External"/><Relationship Id="rId35" Type="http://schemas.openxmlformats.org/officeDocument/2006/relationships/hyperlink" Target="http://undocs.org/sp/A/71/595" TargetMode="External"/><Relationship Id="rId43" Type="http://schemas.openxmlformats.org/officeDocument/2006/relationships/hyperlink" Target="http://undocs.org/sp/A/71/365/Add.6" TargetMode="External"/><Relationship Id="rId48" Type="http://schemas.openxmlformats.org/officeDocument/2006/relationships/hyperlink" Target="http://undocs.org/sp/A/71/365/Add.6" TargetMode="External"/><Relationship Id="rId8" Type="http://schemas.openxmlformats.org/officeDocument/2006/relationships/header" Target="header1.xml"/><Relationship Id="rId51" Type="http://schemas.openxmlformats.org/officeDocument/2006/relationships/hyperlink" Target="http://undocs.org/sp/A/RES/41/21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undocs.org/sp/A/71/36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8948</Words>
  <Characters>51005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Spanish Text Processing FD2</cp:lastModifiedBy>
  <cp:revision>4</cp:revision>
  <cp:lastPrinted>2016-12-13T21:07:00Z</cp:lastPrinted>
  <dcterms:created xsi:type="dcterms:W3CDTF">2016-12-13T21:07:00Z</dcterms:created>
  <dcterms:modified xsi:type="dcterms:W3CDTF">2016-12-13T21:12:00Z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1620648</vt:lpwstr>
  </property>
  <property fmtid="{D5CDD505-2E9C-101B-9397-08002B2CF9AE}" pid="3" name="ODSRefJobNo">
    <vt:lpwstr>1643209</vt:lpwstr>
  </property>
  <property fmtid="{D5CDD505-2E9C-101B-9397-08002B2CF9AE}" pid="4" name="Symbol1">
    <vt:lpwstr>A/71/595/Add.6</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9 de diciembre de 2016</vt:lpwstr>
  </property>
  <property fmtid="{D5CDD505-2E9C-101B-9397-08002B2CF9AE}" pid="8" name="Original">
    <vt:lpwstr>inglés</vt:lpwstr>
  </property>
  <property fmtid="{D5CDD505-2E9C-101B-9397-08002B2CF9AE}" pid="9" name="Release Date">
    <vt:lpwstr>121216</vt:lpwstr>
  </property>
  <property fmtid="{D5CDD505-2E9C-101B-9397-08002B2CF9AE}" pid="10" name="Comment">
    <vt:lpwstr>Silvana Tucci</vt:lpwstr>
  </property>
  <property fmtid="{D5CDD505-2E9C-101B-9397-08002B2CF9AE}" pid="11" name="DraftPages">
    <vt:lpwstr> </vt:lpwstr>
  </property>
  <property fmtid="{D5CDD505-2E9C-101B-9397-08002B2CF9AE}" pid="12" name="Operator">
    <vt:lpwstr>AD/VR</vt:lpwstr>
  </property>
  <property fmtid="{D5CDD505-2E9C-101B-9397-08002B2CF9AE}" pid="13" name="Translator">
    <vt:lpwstr>AD/VR</vt:lpwstr>
  </property>
</Properties>
</file>